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9B0529B" wp14:paraId="1E5B6C7A" wp14:textId="4EFC0CE8">
      <w:pPr>
        <w:pStyle w:val="Title"/>
      </w:pPr>
      <w:r>
        <w:rPr>
          <w:noProof w:val="0"/>
          <w:lang w:val="en-US"/>
        </w:rPr>
        <w:t xml:space="preserve">BPMN Workshop Research Notes</w:t>
      </w:r>
    </w:p>
    <w:p xmlns:wp14="http://schemas.microsoft.com/office/word/2010/wordml" w:rsidP="79B0529B" wp14:paraId="5F73933A" wp14:textId="2762BC17">
      <w:pPr>
        <w:spacing w:before="0" w:beforeAutospacing="off" w:after="300" w:afterAutospacing="off"/>
      </w:pPr>
      <w:r>
        <w:rPr>
          <w:rFonts w:ascii="Arial" w:hAnsi="Arial" w:eastAsia="Arial" w:cs="Arial"/>
          <w:b w:val="0"/>
          <w:bCs w:val="0"/>
          <w:i w:val="1"/>
          <w:iCs w:val="1"/>
          <w:strike w:val="0"/>
          <w:dstrike w:val="0"/>
          <w:noProof w:val="0"/>
          <w:color w:val="595959" w:themeColor="text1" w:themeTint="A6" w:themeShade="FF"/>
          <w:sz w:val="22"/>
          <w:szCs w:val="22"/>
          <w:u w:val="none"/>
          <w:lang w:val="en-US"/>
        </w:rPr>
        <w:t>Part 1: What BPMN is, why it is used, its alternatives, and its benefits and drawbacks  for a software engineering audience</w:t>
      </w:r>
    </w:p>
    <w:p xmlns:wp14="http://schemas.microsoft.com/office/word/2010/wordml" w:rsidP="79B0529B" wp14:paraId="74DBC551" wp14:textId="52F63790">
      <w:pPr>
        <w:spacing w:before="0" w:beforeAutospacing="off" w:after="60" w:afterAutospacing="off"/>
      </w:pPr>
      <w:r>
        <w:rPr>
          <w:rFonts w:ascii="Arial" w:hAnsi="Arial" w:eastAsia="Arial" w:cs="Arial"/>
          <w:b w:val="0"/>
          <w:bCs w:val="0"/>
          <w:i w:val="0"/>
          <w:iCs w:val="0"/>
          <w:strike w:val="0"/>
          <w:dstrike w:val="0"/>
          <w:noProof w:val="0"/>
          <w:color w:val="808080" w:themeColor="background1" w:themeTint="FF" w:themeShade="80"/>
          <w:sz w:val="22"/>
          <w:szCs w:val="22"/>
          <w:u w:val="none"/>
          <w:lang w:val="en-US"/>
        </w:rPr>
        <w:t>Romain · BPMN for IT Process Design workshop · September 2026</w:t>
      </w:r>
    </w:p>
    <w:p xmlns:wp14="http://schemas.microsoft.com/office/word/2010/wordml" w:rsidP="79B0529B" wp14:paraId="757FC8B7" wp14:textId="3873E806">
      <w:pPr>
        <w:spacing w:before="0" w:beforeAutospacing="off" w:after="240" w:afterAutospacing="off"/>
      </w:pPr>
      <w:r>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t>
      </w:r>
    </w:p>
    <w:p xmlns:wp14="http://schemas.microsoft.com/office/word/2010/wordml" w:rsidP="79B0529B" wp14:paraId="62F9F9C7" wp14:textId="71D0CA50">
      <w:pPr>
        <w:pStyle w:val="Heading1"/>
        <w:spacing w:before="320" w:beforeAutospacing="off" w:after="160" w:afterAutospacing="off"/>
      </w:pPr>
      <w:r>
        <w:rPr>
          <w:rFonts w:ascii="Arial" w:hAnsi="Arial" w:eastAsia="Arial" w:cs="Arial"/>
          <w:b w:val="1"/>
          <w:bCs w:val="1"/>
          <w:i w:val="0"/>
          <w:iCs w:val="0"/>
          <w:strike w:val="0"/>
          <w:dstrike w:val="0"/>
          <w:noProof w:val="0"/>
          <w:color w:val="000000" w:themeColor="text1" w:themeTint="FF" w:themeShade="FF"/>
          <w:sz w:val="28"/>
          <w:szCs w:val="28"/>
          <w:u w:val="none"/>
          <w:lang w:val="en-US"/>
        </w:rPr>
        <w:t>1. What BPMN is</w:t>
      </w:r>
    </w:p>
    <w:p xmlns:wp14="http://schemas.microsoft.com/office/word/2010/wordml" w:rsidP="79B0529B" wp14:paraId="524B4132" wp14:textId="406E11D4">
      <w:pPr>
        <w:spacing w:before="0" w:beforeAutospacing="off" w:after="160" w:afterAutospacing="off"/>
      </w:pPr>
      <w:r>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BPMN, Business Process Model and Notation, is a graphical standard for describing how a process actually runs: which steps happen, in what order, who is responsible for each one, and where decisions or parallel work occur. It was developed by the Business Process Management Initiative and has been maintained by the Object Management Group since 2005; BPMN 2.0 is also published as ISO/IEC 19510 [1], [2], [3]. The point of standardising it was to stop every consultancy and every tool vendor from drawing process diagrams with its own private set of shapes, which made diagrams impossible to exchange or compare [4].</w:t>
      </w:r>
    </w:p>
    <w:p xmlns:wp14="http://schemas.microsoft.com/office/word/2010/wordml" w:rsidP="79B0529B" wp14:paraId="47DD3DE1" wp14:textId="0FCD3A02">
      <w:pPr>
        <w:spacing w:before="0" w:beforeAutospacing="off" w:after="160" w:afterAutospacing="off"/>
      </w:pPr>
      <w:r>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A BPMN diagram is built from a small set of element types: events (circles) mark things that start, interrupt or end a process; activities (rounded rectangles) are the actual work; gateways (diamonds) are decision or split/merge points; and pools and lanes partition the diagram by participant or team, so a handoff between support and development is drawn, not implied [1], [4]. Jonathan's part of the workshop covers this notation in more depth.</w:t>
      </w:r>
    </w:p>
    <w:p xmlns:wp14="http://schemas.microsoft.com/office/word/2010/wordml" w:rsidP="79B0529B" wp14:paraId="65DFC0FC" wp14:textId="76940E46">
      <w:pPr>
        <w:pStyle w:val="Heading1"/>
        <w:spacing w:before="320" w:beforeAutospacing="off" w:after="160" w:afterAutospacing="off"/>
      </w:pPr>
      <w:r>
        <w:rPr>
          <w:rFonts w:ascii="Arial" w:hAnsi="Arial" w:eastAsia="Arial" w:cs="Arial"/>
          <w:b w:val="1"/>
          <w:bCs w:val="1"/>
          <w:i w:val="0"/>
          <w:iCs w:val="0"/>
          <w:strike w:val="0"/>
          <w:dstrike w:val="0"/>
          <w:noProof w:val="0"/>
          <w:color w:val="000000" w:themeColor="text1" w:themeTint="FF" w:themeShade="FF"/>
          <w:sz w:val="28"/>
          <w:szCs w:val="28"/>
          <w:u w:val="none"/>
          <w:lang w:val="en-US"/>
        </w:rPr>
        <w:t>2. Purpose, and why companies use it</w:t>
      </w:r>
    </w:p>
    <w:p xmlns:wp14="http://schemas.microsoft.com/office/word/2010/wordml" w:rsidP="79B0529B" wp14:paraId="2E187C29" wp14:textId="6622CDEA">
      <w:pPr>
        <w:spacing w:before="0" w:beforeAutospacing="off" w:after="160" w:afterAutospacing="off"/>
      </w:pPr>
      <w:r>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BPMN exists to close a specific gap: the same process is usually described three different ways by three different people  a business analyst's requirements document, a developer's implementation, and whatever the person actually doing the work has in their head. BPMN is designed to be readable by all three without translation [4]. That is the reason it gets adopted: not because companies enjoy drawing diagrams, but because a shared, unambiguous picture of a process is what lets a change to it be discussed, agreed and then built, instead of getting reinterpreted at each handoff.</w:t>
      </w:r>
    </w:p>
    <w:p xmlns:wp14="http://schemas.microsoft.com/office/word/2010/wordml" w:rsidP="79B0529B" wp14:paraId="7C09E78C" wp14:textId="57E29343">
      <w:pPr>
        <w:spacing w:before="0" w:beforeAutospacing="off" w:after="160" w:afterAutospacing="off"/>
      </w:pPr>
      <w:r>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In practice this shows up as three recurring uses. Companies model an existing process to find where it is slow or unclear before touching it (this is exactly what Part 3 of our workshop asks each group to do). They model a target process as a specification that a development team then builds against, which is closer to how BPMN gets used on an internal automation project. And, where the tooling supports it, they run the diagram directly as an executable workflow, which is the use case that makes BPMN specifically relevant to software engineering [1], [5].</w:t>
      </w:r>
    </w:p>
    <w:p xmlns:wp14="http://schemas.microsoft.com/office/word/2010/wordml" w:rsidP="79B0529B" wp14:paraId="4C1E0D7D" wp14:textId="6EE1E676">
      <w:pPr>
        <w:pStyle w:val="Heading1"/>
        <w:spacing w:before="320" w:beforeAutospacing="off" w:after="160" w:afterAutospacing="off"/>
      </w:pPr>
      <w:r>
        <w:rPr>
          <w:rFonts w:ascii="Arial" w:hAnsi="Arial" w:eastAsia="Arial" w:cs="Arial"/>
          <w:b w:val="1"/>
          <w:bCs w:val="1"/>
          <w:i w:val="0"/>
          <w:iCs w:val="0"/>
          <w:strike w:val="0"/>
          <w:dstrike w:val="0"/>
          <w:noProof w:val="0"/>
          <w:color w:val="000000" w:themeColor="text1" w:themeTint="FF" w:themeShade="FF"/>
          <w:sz w:val="28"/>
          <w:szCs w:val="28"/>
          <w:u w:val="none"/>
          <w:lang w:val="en-US"/>
        </w:rPr>
        <w:t>3. Why this matters specifically for software engineers</w:t>
      </w:r>
    </w:p>
    <w:p xmlns:wp14="http://schemas.microsoft.com/office/word/2010/wordml" w:rsidP="79B0529B" wp14:paraId="454BEB60" wp14:textId="2B281718">
      <w:pPr>
        <w:spacing w:before="0" w:beforeAutospacing="off" w:after="160" w:afterAutospacing="off"/>
      </w:pPr>
      <w:r>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In execution engines such as Camunda 7 or Zeebe (the engine behind Camunda 8), a BPMN 2.0 diagram isn't just documentation that a developer later rebuilds in code somewhere else the file itself is the thing that runs [5]. </w:t>
      </w:r>
    </w:p>
    <w:p xmlns:wp14="http://schemas.microsoft.com/office/word/2010/wordml" w:rsidP="79B0529B" wp14:paraId="088298E8" wp14:textId="4EFD6AED">
      <w:pPr>
        <w:spacing w:before="0" w:beforeAutospacing="off" w:after="160" w:afterAutospacing="off"/>
      </w:pPr>
      <w:r>
        <w:rPr>
          <w:rFonts w:ascii="Arial" w:hAnsi="Arial" w:eastAsia="Arial" w:cs="Arial"/>
          <w:b w:val="0"/>
          <w:bCs w:val="0"/>
          <w:i w:val="0"/>
          <w:iCs w:val="0"/>
          <w:strike w:val="0"/>
          <w:dstrike w:val="0"/>
          <w:noProof w:val="0"/>
          <w:color w:val="000000" w:themeColor="text1" w:themeTint="FF" w:themeShade="FF"/>
          <w:sz w:val="22"/>
          <w:szCs w:val="22"/>
          <w:u w:val="none"/>
          <w:lang w:val="en-US"/>
        </w:rPr>
        <w:t>There's no translation step, no "now let's go implement what this diagram shows." The diagram the business analyst drew and the process actually running in production are literally the same file. So in our exercise, when a gateway decides whether a bug gets sent back to development or pushed on to release, that's not a note buried in a ticketing tool's settings it's the real routing logic, right there in the diagram.</w:t>
      </w:r>
    </w:p>
    <w:p xmlns:wp14="http://schemas.microsoft.com/office/word/2010/wordml" w:rsidP="79B0529B" wp14:paraId="23B9FB82" wp14:textId="14C09109">
      <w:pPr>
        <w:spacing w:before="0" w:beforeAutospacing="off" w:after="160" w:afterAutospacing="off"/>
      </w:pPr>
      <w:r>
        <w:rPr>
          <w:rFonts w:ascii="Arial" w:hAnsi="Arial" w:eastAsia="Arial" w:cs="Arial"/>
          <w:b w:val="0"/>
          <w:bCs w:val="0"/>
          <w:i w:val="0"/>
          <w:iCs w:val="0"/>
          <w:strike w:val="0"/>
          <w:dstrike w:val="0"/>
          <w:noProof w:val="0"/>
          <w:color w:val="000000" w:themeColor="text1" w:themeTint="FF" w:themeShade="FF"/>
          <w:sz w:val="22"/>
          <w:szCs w:val="22"/>
          <w:u w:val="none"/>
          <w:lang w:val="en-US"/>
        </w:rPr>
        <w:t>The other reason this is worth knowing as a developer: BPMN comes with a set of already-solved answers to problems every workflow eventually runs into. Need two things to happen at once and wait for both to finish?</w:t>
      </w:r>
    </w:p>
    <w:p xmlns:wp14="http://schemas.microsoft.com/office/word/2010/wordml" w:rsidP="79B0529B" wp14:paraId="6104C71D" wp14:textId="074F476E">
      <w:pPr>
        <w:spacing w:before="0" w:beforeAutospacing="off" w:after="160" w:afterAutospacing="off"/>
      </w:pPr>
      <w:r>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That's a parallel gateway. Need to react if something takes too long? Timer event. Need to catch a failure without the whole process crashing? Error boundary event [5], [6]. Teams that build this kind of logic by hand in their own code tend to end up reinventing it clumsily over time [5].</w:t>
      </w:r>
    </w:p>
    <w:p xmlns:wp14="http://schemas.microsoft.com/office/word/2010/wordml" w:rsidP="79B0529B" wp14:paraId="6578BF62" wp14:textId="0F0DEE73">
      <w:pPr>
        <w:spacing w:before="0" w:beforeAutospacing="off" w:after="160" w:afterAutospacing="off"/>
      </w:pPr>
      <w:r>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A BPMN engine gives it to you out of the box, and it also keeps that orchestration logic separate from the actual services doing the work which is exactly why BPMN has caught on as a way to coordinate microservices without hard-wiring them to call each other directly [5]. Even if you never touch a BPMN tool again after this workshop, that's a habit worth keeping: keep the "who does what, in what order, what happens if it fails" logic separate from the code that does the actual work [6].</w:t>
      </w:r>
    </w:p>
    <w:p xmlns:wp14="http://schemas.microsoft.com/office/word/2010/wordml" wp14:paraId="303F6CE3" wp14:textId="64DDBB34">
      <w:r>
        <w:br w:type="page"/>
      </w:r>
    </w:p>
    <w:p xmlns:wp14="http://schemas.microsoft.com/office/word/2010/wordml" w:rsidP="79B0529B" wp14:paraId="4C6F2E96" wp14:textId="37842ADE">
      <w:pPr>
        <w:pStyle w:val="Normal"/>
        <w:spacing w:before="0" w:beforeAutospacing="off" w:after="16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p>
    <w:p xmlns:wp14="http://schemas.microsoft.com/office/word/2010/wordml" w:rsidP="79B0529B" wp14:paraId="527B1076" wp14:textId="6178CBE9">
      <w:pPr>
        <w:pStyle w:val="Heading1"/>
        <w:spacing w:before="320" w:beforeAutospacing="off" w:after="160" w:afterAutospacing="off"/>
      </w:pPr>
      <w:r>
        <w:rPr>
          <w:rFonts w:ascii="Arial" w:hAnsi="Arial" w:eastAsia="Arial" w:cs="Arial"/>
          <w:b w:val="1"/>
          <w:bCs w:val="1"/>
          <w:i w:val="0"/>
          <w:iCs w:val="0"/>
          <w:strike w:val="0"/>
          <w:dstrike w:val="0"/>
          <w:noProof w:val="0"/>
          <w:color w:val="000000" w:themeColor="text1" w:themeTint="FF" w:themeShade="FF"/>
          <w:sz w:val="28"/>
          <w:szCs w:val="28"/>
          <w:u w:val="none"/>
          <w:lang w:val="en-US"/>
        </w:rPr>
        <w:t>4. Alternatives to BPMN</w:t>
      </w:r>
    </w:p>
    <w:p xmlns:wp14="http://schemas.microsoft.com/office/word/2010/wordml" w:rsidP="79B0529B" wp14:paraId="5BB5360E" wp14:textId="37988E90">
      <w:pPr>
        <w:spacing w:before="0" w:beforeAutospacing="off" w:after="160" w:afterAutospacing="off"/>
      </w:pPr>
      <w:r>
        <w:rPr>
          <w:rFonts w:ascii="Arial" w:hAnsi="Arial" w:eastAsia="Arial" w:cs="Arial"/>
          <w:b w:val="0"/>
          <w:bCs w:val="0"/>
          <w:i w:val="0"/>
          <w:iCs w:val="0"/>
          <w:strike w:val="0"/>
          <w:dstrike w:val="0"/>
          <w:noProof w:val="0"/>
          <w:color w:val="000000" w:themeColor="text1" w:themeTint="FF" w:themeShade="FF"/>
          <w:sz w:val="22"/>
          <w:szCs w:val="22"/>
          <w:u w:val="none"/>
          <w:lang w:val="en-US"/>
        </w:rPr>
        <w:t>BPMN is not the only way to draw a process, and it is worth being honest about when something simpler is actually the better choice. The table below compares the notations most likely to come up, judged specifically against a software/IT process with parallel work and multiple teams  the kind our workshop uses  rather than against BPMN in general.</w:t>
      </w:r>
    </w:p>
    <w:tbl>
      <w:tblPr>
        <w:tblStyle w:val="TableNormal"/>
        <w:bidiVisual w:val="0"/>
        <w:tblW w:w="0" w:type="auto"/>
        <w:tblLook w:val="06A0" w:firstRow="1" w:lastRow="0" w:firstColumn="1" w:lastColumn="0" w:noHBand="1" w:noVBand="1"/>
      </w:tblPr>
      <w:tblGrid>
        <w:gridCol w:w="1543"/>
        <w:gridCol w:w="2368"/>
        <w:gridCol w:w="2683"/>
        <w:gridCol w:w="1948"/>
      </w:tblGrid>
      <w:tr w:rsidR="79B0529B" w:rsidTr="79B0529B" w14:paraId="06F7712B">
        <w:trPr>
          <w:trHeight w:val="645"/>
        </w:trPr>
        <w:tc>
          <w:tcPr>
            <w:tcW w:w="1543" w:type="dxa"/>
            <w:tcBorders>
              <w:top w:val="single" w:color="000000" w:themeColor="text1" w:sz="5"/>
              <w:left w:val="single" w:color="000000" w:themeColor="text1" w:sz="5"/>
              <w:bottom w:val="single" w:color="000000" w:themeColor="text1" w:sz="5"/>
              <w:right w:val="single" w:color="000000" w:themeColor="text1" w:sz="5"/>
            </w:tcBorders>
            <w:shd w:val="clear" w:color="auto" w:fill="0B769F" w:themeFill="accent4" w:themeFillShade="BF"/>
            <w:tcMar>
              <w:top w:w="80" w:type="dxa"/>
              <w:left w:w="100" w:type="dxa"/>
              <w:bottom w:w="80" w:type="dxa"/>
              <w:right w:w="100" w:type="dxa"/>
            </w:tcMar>
            <w:vAlign w:val="top"/>
          </w:tcPr>
          <w:p w:rsidR="79B0529B" w:rsidP="79B0529B" w:rsidRDefault="79B0529B" w14:paraId="60CE4B39" w14:textId="4C3B5E42">
            <w:pPr>
              <w:spacing w:before="0" w:beforeAutospacing="off" w:after="0" w:afterAutospacing="off"/>
            </w:pPr>
            <w:r>
              <w:rPr>
                <w:rFonts w:ascii="Arial" w:hAnsi="Arial" w:eastAsia="Arial" w:cs="Arial"/>
                <w:b w:val="1"/>
                <w:bCs w:val="1"/>
                <w:i w:val="0"/>
                <w:iCs w:val="0"/>
                <w:strike w:val="0"/>
                <w:dstrike w:val="0"/>
                <w:color w:val="FFFFFF" w:themeColor="background1" w:themeTint="FF" w:themeShade="FF"/>
                <w:sz w:val="22"/>
                <w:szCs w:val="22"/>
                <w:u w:val="none"/>
              </w:rPr>
              <w:t>Notation</w:t>
            </w:r>
          </w:p>
        </w:tc>
        <w:tc>
          <w:tcPr>
            <w:tcW w:w="2368" w:type="dxa"/>
            <w:tcBorders>
              <w:top w:val="single" w:color="000000" w:themeColor="text1" w:sz="5"/>
              <w:left w:val="single" w:color="000000" w:themeColor="text1" w:sz="5"/>
              <w:bottom w:val="single" w:color="000000" w:themeColor="text1" w:sz="5"/>
              <w:right w:val="single" w:color="000000" w:themeColor="text1" w:sz="5"/>
            </w:tcBorders>
            <w:shd w:val="clear" w:color="auto" w:fill="0B769F" w:themeFill="accent4" w:themeFillShade="BF"/>
            <w:tcMar>
              <w:top w:w="80" w:type="dxa"/>
              <w:left w:w="100" w:type="dxa"/>
              <w:bottom w:w="80" w:type="dxa"/>
              <w:right w:w="100" w:type="dxa"/>
            </w:tcMar>
            <w:vAlign w:val="top"/>
          </w:tcPr>
          <w:p w:rsidR="79B0529B" w:rsidP="79B0529B" w:rsidRDefault="79B0529B" w14:paraId="2484AF87" w14:textId="7BB701F2">
            <w:pPr>
              <w:spacing w:before="0" w:beforeAutospacing="off" w:after="0" w:afterAutospacing="off"/>
            </w:pPr>
            <w:r>
              <w:rPr>
                <w:rFonts w:ascii="Arial" w:hAnsi="Arial" w:eastAsia="Arial" w:cs="Arial"/>
                <w:b w:val="1"/>
                <w:bCs w:val="1"/>
                <w:i w:val="0"/>
                <w:iCs w:val="0"/>
                <w:strike w:val="0"/>
                <w:dstrike w:val="0"/>
                <w:color w:val="FFFFFF" w:themeColor="background1" w:themeTint="FF" w:themeShade="FF"/>
                <w:sz w:val="22"/>
                <w:szCs w:val="22"/>
                <w:u w:val="none"/>
              </w:rPr>
              <w:t>Built for</w:t>
            </w:r>
          </w:p>
        </w:tc>
        <w:tc>
          <w:tcPr>
            <w:tcW w:w="2683" w:type="dxa"/>
            <w:tcBorders>
              <w:top w:val="single" w:color="000000" w:themeColor="text1" w:sz="5"/>
              <w:left w:val="single" w:color="000000" w:themeColor="text1" w:sz="5"/>
              <w:bottom w:val="single" w:color="000000" w:themeColor="text1" w:sz="5"/>
              <w:right w:val="single" w:color="000000" w:themeColor="text1" w:sz="5"/>
            </w:tcBorders>
            <w:shd w:val="clear" w:color="auto" w:fill="0B769F" w:themeFill="accent4" w:themeFillShade="BF"/>
            <w:tcMar>
              <w:top w:w="80" w:type="dxa"/>
              <w:left w:w="100" w:type="dxa"/>
              <w:bottom w:w="80" w:type="dxa"/>
              <w:right w:w="100" w:type="dxa"/>
            </w:tcMar>
            <w:vAlign w:val="top"/>
          </w:tcPr>
          <w:p w:rsidR="79B0529B" w:rsidP="79B0529B" w:rsidRDefault="79B0529B" w14:paraId="5F564641" w14:textId="0393BD2B">
            <w:pPr>
              <w:spacing w:before="0" w:beforeAutospacing="off" w:after="0" w:afterAutospacing="off"/>
            </w:pPr>
            <w:r>
              <w:rPr>
                <w:rFonts w:ascii="Arial" w:hAnsi="Arial" w:eastAsia="Arial" w:cs="Arial"/>
                <w:b w:val="1"/>
                <w:bCs w:val="1"/>
                <w:i w:val="0"/>
                <w:iCs w:val="0"/>
                <w:strike w:val="0"/>
                <w:dstrike w:val="0"/>
                <w:color w:val="FFFFFF" w:themeColor="background1" w:themeTint="FF" w:themeShade="FF"/>
                <w:sz w:val="22"/>
                <w:szCs w:val="22"/>
                <w:u w:val="none"/>
              </w:rPr>
              <w:t>Weak point in a software context</w:t>
            </w:r>
          </w:p>
        </w:tc>
        <w:tc>
          <w:tcPr>
            <w:tcW w:w="1948" w:type="dxa"/>
            <w:tcBorders>
              <w:top w:val="single" w:color="000000" w:themeColor="text1" w:sz="5"/>
              <w:left w:val="single" w:color="000000" w:themeColor="text1" w:sz="5"/>
              <w:bottom w:val="single" w:color="000000" w:themeColor="text1" w:sz="5"/>
              <w:right w:val="single" w:color="000000" w:themeColor="text1" w:sz="5"/>
            </w:tcBorders>
            <w:shd w:val="clear" w:color="auto" w:fill="0B769F" w:themeFill="accent4" w:themeFillShade="BF"/>
            <w:tcMar>
              <w:top w:w="80" w:type="dxa"/>
              <w:left w:w="100" w:type="dxa"/>
              <w:bottom w:w="80" w:type="dxa"/>
              <w:right w:w="100" w:type="dxa"/>
            </w:tcMar>
            <w:vAlign w:val="top"/>
          </w:tcPr>
          <w:p w:rsidR="79B0529B" w:rsidP="79B0529B" w:rsidRDefault="79B0529B" w14:paraId="120F1FAD" w14:textId="46891850">
            <w:pPr>
              <w:spacing w:before="0" w:beforeAutospacing="off" w:after="0" w:afterAutospacing="off"/>
            </w:pPr>
            <w:r>
              <w:rPr>
                <w:rFonts w:ascii="Arial" w:hAnsi="Arial" w:eastAsia="Arial" w:cs="Arial"/>
                <w:b w:val="1"/>
                <w:bCs w:val="1"/>
                <w:i w:val="0"/>
                <w:iCs w:val="0"/>
                <w:strike w:val="0"/>
                <w:dstrike w:val="0"/>
                <w:color w:val="FFFFFF" w:themeColor="background1" w:themeTint="FF" w:themeShade="FF"/>
                <w:sz w:val="22"/>
                <w:szCs w:val="22"/>
                <w:u w:val="none"/>
              </w:rPr>
              <w:t>Fit vs. BPMN</w:t>
            </w:r>
          </w:p>
        </w:tc>
      </w:tr>
      <w:tr w:rsidR="79B0529B" w:rsidTr="79B0529B" w14:paraId="1750049A">
        <w:trPr>
          <w:trHeight w:val="1125"/>
        </w:trPr>
        <w:tc>
          <w:tcPr>
            <w:tcW w:w="1543" w:type="dxa"/>
            <w:tcBorders>
              <w:top w:val="single" w:color="000000" w:themeColor="text1" w:sz="5"/>
              <w:left w:val="single" w:color="000000" w:themeColor="text1" w:sz="5"/>
              <w:bottom w:val="single" w:color="000000" w:themeColor="text1" w:sz="5"/>
              <w:right w:val="single" w:color="000000" w:themeColor="text1" w:sz="5"/>
            </w:tcBorders>
            <w:shd w:val="clear" w:color="auto" w:fill="F2F2F2" w:themeFill="background1" w:themeFillShade="F2"/>
            <w:tcMar>
              <w:top w:w="80" w:type="dxa"/>
              <w:left w:w="100" w:type="dxa"/>
              <w:bottom w:w="80" w:type="dxa"/>
              <w:right w:w="100" w:type="dxa"/>
            </w:tcMar>
            <w:vAlign w:val="top"/>
          </w:tcPr>
          <w:p w:rsidR="79B0529B" w:rsidP="79B0529B" w:rsidRDefault="79B0529B" w14:paraId="339FDD5A" w14:textId="20E623EC">
            <w:pPr>
              <w:spacing w:before="0" w:beforeAutospacing="off" w:after="0" w:afterAutospacing="off"/>
            </w:pPr>
            <w:r>
              <w:rPr>
                <w:rFonts w:ascii="Arial" w:hAnsi="Arial" w:eastAsia="Arial" w:cs="Arial"/>
                <w:b w:val="0"/>
                <w:bCs w:val="0"/>
                <w:i w:val="0"/>
                <w:iCs w:val="0"/>
                <w:strike w:val="0"/>
                <w:dstrike w:val="0"/>
                <w:color w:val="000000" w:themeColor="text1" w:themeTint="FF" w:themeShade="FF"/>
                <w:sz w:val="22"/>
                <w:szCs w:val="22"/>
                <w:u w:val="none"/>
              </w:rPr>
              <w:t>Flowchart</w:t>
            </w:r>
          </w:p>
        </w:tc>
        <w:tc>
          <w:tcPr>
            <w:tcW w:w="2368" w:type="dxa"/>
            <w:tcBorders>
              <w:top w:val="single" w:color="000000" w:themeColor="text1" w:sz="5"/>
              <w:left w:val="single" w:color="000000" w:themeColor="text1" w:sz="5"/>
              <w:bottom w:val="single" w:color="000000" w:themeColor="text1" w:sz="5"/>
              <w:right w:val="single" w:color="000000" w:themeColor="text1" w:sz="5"/>
            </w:tcBorders>
            <w:shd w:val="clear" w:color="auto" w:fill="F2F2F2" w:themeFill="background1" w:themeFillShade="F2"/>
            <w:tcMar>
              <w:top w:w="80" w:type="dxa"/>
              <w:left w:w="100" w:type="dxa"/>
              <w:bottom w:w="80" w:type="dxa"/>
              <w:right w:w="100" w:type="dxa"/>
            </w:tcMar>
            <w:vAlign w:val="top"/>
          </w:tcPr>
          <w:p w:rsidR="79B0529B" w:rsidP="79B0529B" w:rsidRDefault="79B0529B" w14:paraId="079BFD6E" w14:textId="0BC6A3B2">
            <w:pPr>
              <w:spacing w:before="0" w:beforeAutospacing="off" w:after="0" w:afterAutospacing="off"/>
            </w:pPr>
            <w:r>
              <w:rPr>
                <w:rFonts w:ascii="Arial" w:hAnsi="Arial" w:eastAsia="Arial" w:cs="Arial"/>
                <w:b w:val="0"/>
                <w:bCs w:val="0"/>
                <w:i w:val="0"/>
                <w:iCs w:val="0"/>
                <w:strike w:val="0"/>
                <w:dstrike w:val="0"/>
                <w:color w:val="000000" w:themeColor="text1" w:themeTint="FF" w:themeShade="FF"/>
                <w:sz w:val="22"/>
                <w:szCs w:val="22"/>
                <w:u w:val="none"/>
              </w:rPr>
              <w:t>Any linear procedure, no formal rules</w:t>
            </w:r>
          </w:p>
        </w:tc>
        <w:tc>
          <w:tcPr>
            <w:tcW w:w="2683" w:type="dxa"/>
            <w:tcBorders>
              <w:top w:val="single" w:color="000000" w:themeColor="text1" w:sz="5"/>
              <w:left w:val="single" w:color="000000" w:themeColor="text1" w:sz="5"/>
              <w:bottom w:val="single" w:color="000000" w:themeColor="text1" w:sz="5"/>
              <w:right w:val="single" w:color="000000" w:themeColor="text1" w:sz="5"/>
            </w:tcBorders>
            <w:shd w:val="clear" w:color="auto" w:fill="F2F2F2" w:themeFill="background1" w:themeFillShade="F2"/>
            <w:tcMar>
              <w:top w:w="80" w:type="dxa"/>
              <w:left w:w="100" w:type="dxa"/>
              <w:bottom w:w="80" w:type="dxa"/>
              <w:right w:w="100" w:type="dxa"/>
            </w:tcMar>
            <w:vAlign w:val="top"/>
          </w:tcPr>
          <w:p w:rsidR="79B0529B" w:rsidP="79B0529B" w:rsidRDefault="79B0529B" w14:paraId="0C9673BA" w14:textId="2E90118A">
            <w:pPr>
              <w:spacing w:before="0" w:beforeAutospacing="off" w:after="0" w:afterAutospacing="off"/>
            </w:pPr>
            <w:r>
              <w:rPr>
                <w:rFonts w:ascii="Arial" w:hAnsi="Arial" w:eastAsia="Arial" w:cs="Arial"/>
                <w:b w:val="0"/>
                <w:bCs w:val="0"/>
                <w:i w:val="0"/>
                <w:iCs w:val="0"/>
                <w:strike w:val="0"/>
                <w:dstrike w:val="0"/>
                <w:color w:val="000000" w:themeColor="text1" w:themeTint="FF" w:themeShade="FF"/>
                <w:sz w:val="22"/>
                <w:szCs w:val="22"/>
                <w:u w:val="none"/>
              </w:rPr>
              <w:t xml:space="preserve">No native way to show parallel work, handoffs between teams, or timeouts  exactly what our IT process needs [7], [8]</w:t>
            </w:r>
          </w:p>
        </w:tc>
        <w:tc>
          <w:tcPr>
            <w:tcW w:w="1948" w:type="dxa"/>
            <w:tcBorders>
              <w:top w:val="single" w:color="000000" w:themeColor="text1" w:sz="5"/>
              <w:left w:val="single" w:color="000000" w:themeColor="text1" w:sz="5"/>
              <w:bottom w:val="single" w:color="000000" w:themeColor="text1" w:sz="5"/>
              <w:right w:val="single" w:color="000000" w:themeColor="text1" w:sz="5"/>
            </w:tcBorders>
            <w:shd w:val="clear" w:color="auto" w:fill="F2F2F2" w:themeFill="background1" w:themeFillShade="F2"/>
            <w:tcMar>
              <w:top w:w="80" w:type="dxa"/>
              <w:left w:w="100" w:type="dxa"/>
              <w:bottom w:w="80" w:type="dxa"/>
              <w:right w:w="100" w:type="dxa"/>
            </w:tcMar>
            <w:vAlign w:val="top"/>
          </w:tcPr>
          <w:p w:rsidR="79B0529B" w:rsidP="79B0529B" w:rsidRDefault="79B0529B" w14:paraId="52675591" w14:textId="064AD66B">
            <w:pPr>
              <w:spacing w:before="0" w:beforeAutospacing="off" w:after="0" w:afterAutospacing="off"/>
            </w:pPr>
            <w:r>
              <w:rPr>
                <w:rFonts w:ascii="Arial" w:hAnsi="Arial" w:eastAsia="Arial" w:cs="Arial"/>
                <w:b w:val="0"/>
                <w:bCs w:val="0"/>
                <w:i w:val="0"/>
                <w:iCs w:val="0"/>
                <w:strike w:val="0"/>
                <w:dstrike w:val="0"/>
                <w:color w:val="000000" w:themeColor="text1" w:themeTint="FF" w:themeShade="FF"/>
                <w:sz w:val="22"/>
                <w:szCs w:val="22"/>
                <w:u w:val="none"/>
              </w:rPr>
              <w:t>Too weak</w:t>
            </w:r>
          </w:p>
        </w:tc>
      </w:tr>
      <w:tr w:rsidR="79B0529B" w:rsidTr="79B0529B" w14:paraId="5DC7DEE6">
        <w:trPr>
          <w:trHeight w:val="1365"/>
        </w:trPr>
        <w:tc>
          <w:tcPr>
            <w:tcW w:w="1543" w:type="dxa"/>
            <w:tcBorders>
              <w:top w:val="single" w:color="000000" w:themeColor="text1" w:sz="5"/>
              <w:left w:val="single" w:color="000000" w:themeColor="text1" w:sz="5"/>
              <w:bottom w:val="single" w:color="000000" w:themeColor="text1" w:sz="5"/>
              <w:right w:val="single" w:color="000000" w:themeColor="text1" w:sz="5"/>
            </w:tcBorders>
            <w:shd w:val="clear" w:color="auto" w:fill="FFFFFF" w:themeFill="background1"/>
            <w:tcMar>
              <w:top w:w="80" w:type="dxa"/>
              <w:left w:w="100" w:type="dxa"/>
              <w:bottom w:w="80" w:type="dxa"/>
              <w:right w:w="100" w:type="dxa"/>
            </w:tcMar>
            <w:vAlign w:val="top"/>
          </w:tcPr>
          <w:p w:rsidR="79B0529B" w:rsidP="79B0529B" w:rsidRDefault="79B0529B" w14:paraId="0BFF117E" w14:textId="72FB7E9B">
            <w:pPr>
              <w:spacing w:before="0" w:beforeAutospacing="off" w:after="0" w:afterAutospacing="off"/>
            </w:pPr>
            <w:r>
              <w:rPr>
                <w:rFonts w:ascii="Arial" w:hAnsi="Arial" w:eastAsia="Arial" w:cs="Arial"/>
                <w:b w:val="0"/>
                <w:bCs w:val="0"/>
                <w:i w:val="0"/>
                <w:iCs w:val="0"/>
                <w:strike w:val="0"/>
                <w:dstrike w:val="0"/>
                <w:color w:val="000000" w:themeColor="text1" w:themeTint="FF" w:themeShade="FF"/>
                <w:sz w:val="22"/>
                <w:szCs w:val="22"/>
                <w:u w:val="none"/>
              </w:rPr>
              <w:t>UML Activity Diagram</w:t>
            </w:r>
          </w:p>
        </w:tc>
        <w:tc>
          <w:tcPr>
            <w:tcW w:w="2368" w:type="dxa"/>
            <w:tcBorders>
              <w:top w:val="single" w:color="000000" w:themeColor="text1" w:sz="5"/>
              <w:left w:val="single" w:color="000000" w:themeColor="text1" w:sz="5"/>
              <w:bottom w:val="single" w:color="000000" w:themeColor="text1" w:sz="5"/>
              <w:right w:val="single" w:color="000000" w:themeColor="text1" w:sz="5"/>
            </w:tcBorders>
            <w:shd w:val="clear" w:color="auto" w:fill="FFFFFF" w:themeFill="background1"/>
            <w:tcMar>
              <w:top w:w="80" w:type="dxa"/>
              <w:left w:w="100" w:type="dxa"/>
              <w:bottom w:w="80" w:type="dxa"/>
              <w:right w:w="100" w:type="dxa"/>
            </w:tcMar>
            <w:vAlign w:val="top"/>
          </w:tcPr>
          <w:p w:rsidR="79B0529B" w:rsidP="79B0529B" w:rsidRDefault="79B0529B" w14:paraId="00816542" w14:textId="3EEF2B7D">
            <w:pPr>
              <w:spacing w:before="0" w:beforeAutospacing="off" w:after="0" w:afterAutospacing="off"/>
            </w:pPr>
            <w:r>
              <w:rPr>
                <w:rFonts w:ascii="Arial" w:hAnsi="Arial" w:eastAsia="Arial" w:cs="Arial"/>
                <w:b w:val="0"/>
                <w:bCs w:val="0"/>
                <w:i w:val="0"/>
                <w:iCs w:val="0"/>
                <w:strike w:val="0"/>
                <w:dstrike w:val="0"/>
                <w:color w:val="000000" w:themeColor="text1" w:themeTint="FF" w:themeShade="FF"/>
                <w:sz w:val="22"/>
                <w:szCs w:val="22"/>
                <w:u w:val="none"/>
              </w:rPr>
              <w:t>Describing control flow inside a system, for a developer audience</w:t>
            </w:r>
          </w:p>
        </w:tc>
        <w:tc>
          <w:tcPr>
            <w:tcW w:w="2683" w:type="dxa"/>
            <w:tcBorders>
              <w:top w:val="single" w:color="000000" w:themeColor="text1" w:sz="5"/>
              <w:left w:val="single" w:color="000000" w:themeColor="text1" w:sz="5"/>
              <w:bottom w:val="single" w:color="000000" w:themeColor="text1" w:sz="5"/>
              <w:right w:val="single" w:color="000000" w:themeColor="text1" w:sz="5"/>
            </w:tcBorders>
            <w:shd w:val="clear" w:color="auto" w:fill="FFFFFF" w:themeFill="background1"/>
            <w:tcMar>
              <w:top w:w="80" w:type="dxa"/>
              <w:left w:w="100" w:type="dxa"/>
              <w:bottom w:w="80" w:type="dxa"/>
              <w:right w:w="100" w:type="dxa"/>
            </w:tcMar>
            <w:vAlign w:val="top"/>
          </w:tcPr>
          <w:p w:rsidR="79B0529B" w:rsidP="79B0529B" w:rsidRDefault="79B0529B" w14:paraId="67200D5B" w14:textId="52EEE3E1">
            <w:pPr>
              <w:spacing w:before="0" w:beforeAutospacing="off" w:after="0" w:afterAutospacing="off"/>
            </w:pPr>
            <w:r>
              <w:rPr>
                <w:rFonts w:ascii="Arial" w:hAnsi="Arial" w:eastAsia="Arial" w:cs="Arial"/>
                <w:b w:val="0"/>
                <w:bCs w:val="0"/>
                <w:i w:val="0"/>
                <w:iCs w:val="0"/>
                <w:strike w:val="0"/>
                <w:dstrike w:val="0"/>
                <w:color w:val="000000" w:themeColor="text1" w:themeTint="FF" w:themeShade="FF"/>
                <w:sz w:val="22"/>
                <w:szCs w:val="22"/>
                <w:u w:val="none"/>
              </w:rPr>
              <w:t xml:space="preserve">Reads as internal program logic, not as something a support agent or a client can follow; no data/message flow between participants [7], [9]</w:t>
            </w:r>
          </w:p>
        </w:tc>
        <w:tc>
          <w:tcPr>
            <w:tcW w:w="1948" w:type="dxa"/>
            <w:tcBorders>
              <w:top w:val="single" w:color="000000" w:themeColor="text1" w:sz="5"/>
              <w:left w:val="single" w:color="000000" w:themeColor="text1" w:sz="5"/>
              <w:bottom w:val="single" w:color="000000" w:themeColor="text1" w:sz="5"/>
              <w:right w:val="single" w:color="000000" w:themeColor="text1" w:sz="5"/>
            </w:tcBorders>
            <w:shd w:val="clear" w:color="auto" w:fill="FFFFFF" w:themeFill="background1"/>
            <w:tcMar>
              <w:top w:w="80" w:type="dxa"/>
              <w:left w:w="100" w:type="dxa"/>
              <w:bottom w:w="80" w:type="dxa"/>
              <w:right w:w="100" w:type="dxa"/>
            </w:tcMar>
            <w:vAlign w:val="top"/>
          </w:tcPr>
          <w:p w:rsidR="79B0529B" w:rsidP="79B0529B" w:rsidRDefault="79B0529B" w14:paraId="0DBEB675" w14:textId="4F192342">
            <w:pPr>
              <w:spacing w:before="0" w:beforeAutospacing="off" w:after="0" w:afterAutospacing="off"/>
            </w:pPr>
            <w:r>
              <w:rPr>
                <w:rFonts w:ascii="Arial" w:hAnsi="Arial" w:eastAsia="Arial" w:cs="Arial"/>
                <w:b w:val="0"/>
                <w:bCs w:val="0"/>
                <w:i w:val="0"/>
                <w:iCs w:val="0"/>
                <w:strike w:val="0"/>
                <w:dstrike w:val="0"/>
                <w:color w:val="000000" w:themeColor="text1" w:themeTint="FF" w:themeShade="FF"/>
                <w:sz w:val="22"/>
                <w:szCs w:val="22"/>
                <w:u w:val="none"/>
              </w:rPr>
              <w:t>Overlaps, narrower audience</w:t>
            </w:r>
          </w:p>
        </w:tc>
      </w:tr>
      <w:tr w:rsidR="79B0529B" w:rsidTr="79B0529B" w14:paraId="4371777A">
        <w:trPr>
          <w:trHeight w:val="1365"/>
        </w:trPr>
        <w:tc>
          <w:tcPr>
            <w:tcW w:w="1543" w:type="dxa"/>
            <w:tcBorders>
              <w:top w:val="single" w:color="000000" w:themeColor="text1" w:sz="5"/>
              <w:left w:val="single" w:color="000000" w:themeColor="text1" w:sz="5"/>
              <w:bottom w:val="single" w:color="000000" w:themeColor="text1" w:sz="5"/>
              <w:right w:val="single" w:color="000000" w:themeColor="text1" w:sz="5"/>
            </w:tcBorders>
            <w:shd w:val="clear" w:color="auto" w:fill="F2F2F2" w:themeFill="background1" w:themeFillShade="F2"/>
            <w:tcMar>
              <w:top w:w="80" w:type="dxa"/>
              <w:left w:w="100" w:type="dxa"/>
              <w:bottom w:w="80" w:type="dxa"/>
              <w:right w:w="100" w:type="dxa"/>
            </w:tcMar>
            <w:vAlign w:val="top"/>
          </w:tcPr>
          <w:p w:rsidR="79B0529B" w:rsidP="79B0529B" w:rsidRDefault="79B0529B" w14:paraId="7750AC6F" w14:textId="1AC29CCD">
            <w:pPr>
              <w:spacing w:before="0" w:beforeAutospacing="off" w:after="0" w:afterAutospacing="off"/>
            </w:pPr>
            <w:r>
              <w:rPr>
                <w:rFonts w:ascii="Arial" w:hAnsi="Arial" w:eastAsia="Arial" w:cs="Arial"/>
                <w:b w:val="0"/>
                <w:bCs w:val="0"/>
                <w:i w:val="0"/>
                <w:iCs w:val="0"/>
                <w:strike w:val="0"/>
                <w:dstrike w:val="0"/>
                <w:color w:val="000000" w:themeColor="text1" w:themeTint="FF" w:themeShade="FF"/>
                <w:sz w:val="22"/>
                <w:szCs w:val="22"/>
                <w:u w:val="none"/>
              </w:rPr>
              <w:t>EPC (Event-driven Process Chain)</w:t>
            </w:r>
          </w:p>
        </w:tc>
        <w:tc>
          <w:tcPr>
            <w:tcW w:w="2368" w:type="dxa"/>
            <w:tcBorders>
              <w:top w:val="single" w:color="000000" w:themeColor="text1" w:sz="5"/>
              <w:left w:val="single" w:color="000000" w:themeColor="text1" w:sz="5"/>
              <w:bottom w:val="single" w:color="000000" w:themeColor="text1" w:sz="5"/>
              <w:right w:val="single" w:color="000000" w:themeColor="text1" w:sz="5"/>
            </w:tcBorders>
            <w:shd w:val="clear" w:color="auto" w:fill="F2F2F2" w:themeFill="background1" w:themeFillShade="F2"/>
            <w:tcMar>
              <w:top w:w="80" w:type="dxa"/>
              <w:left w:w="100" w:type="dxa"/>
              <w:bottom w:w="80" w:type="dxa"/>
              <w:right w:w="100" w:type="dxa"/>
            </w:tcMar>
            <w:vAlign w:val="top"/>
          </w:tcPr>
          <w:p w:rsidR="79B0529B" w:rsidP="79B0529B" w:rsidRDefault="79B0529B" w14:paraId="545668E3" w14:textId="308F7426">
            <w:pPr>
              <w:spacing w:before="0" w:beforeAutospacing="off" w:after="0" w:afterAutospacing="off"/>
            </w:pPr>
            <w:r>
              <w:rPr>
                <w:rFonts w:ascii="Arial" w:hAnsi="Arial" w:eastAsia="Arial" w:cs="Arial"/>
                <w:b w:val="0"/>
                <w:bCs w:val="0"/>
                <w:i w:val="0"/>
                <w:iCs w:val="0"/>
                <w:strike w:val="0"/>
                <w:dstrike w:val="0"/>
                <w:color w:val="000000" w:themeColor="text1" w:themeTint="FF" w:themeShade="FF"/>
                <w:sz w:val="22"/>
                <w:szCs w:val="22"/>
                <w:u w:val="none"/>
              </w:rPr>
              <w:t>SAP/ARIS-style process documentation</w:t>
            </w:r>
          </w:p>
        </w:tc>
        <w:tc>
          <w:tcPr>
            <w:tcW w:w="2683" w:type="dxa"/>
            <w:tcBorders>
              <w:top w:val="single" w:color="000000" w:themeColor="text1" w:sz="5"/>
              <w:left w:val="single" w:color="000000" w:themeColor="text1" w:sz="5"/>
              <w:bottom w:val="single" w:color="000000" w:themeColor="text1" w:sz="5"/>
              <w:right w:val="single" w:color="000000" w:themeColor="text1" w:sz="5"/>
            </w:tcBorders>
            <w:shd w:val="clear" w:color="auto" w:fill="F2F2F2" w:themeFill="background1" w:themeFillShade="F2"/>
            <w:tcMar>
              <w:top w:w="80" w:type="dxa"/>
              <w:left w:w="100" w:type="dxa"/>
              <w:bottom w:w="80" w:type="dxa"/>
              <w:right w:w="100" w:type="dxa"/>
            </w:tcMar>
            <w:vAlign w:val="top"/>
          </w:tcPr>
          <w:p w:rsidR="79B0529B" w:rsidP="79B0529B" w:rsidRDefault="79B0529B" w14:paraId="5E72B9E1" w14:textId="17952B94">
            <w:pPr>
              <w:spacing w:before="0" w:beforeAutospacing="off" w:after="0" w:afterAutospacing="off"/>
            </w:pPr>
            <w:r>
              <w:rPr>
                <w:rFonts w:ascii="Arial" w:hAnsi="Arial" w:eastAsia="Arial" w:cs="Arial"/>
                <w:b w:val="0"/>
                <w:bCs w:val="0"/>
                <w:i w:val="0"/>
                <w:iCs w:val="0"/>
                <w:strike w:val="0"/>
                <w:dstrike w:val="0"/>
                <w:color w:val="000000" w:themeColor="text1" w:themeTint="FF" w:themeShade="FF"/>
                <w:sz w:val="22"/>
                <w:szCs w:val="22"/>
                <w:u w:val="none"/>
              </w:rPr>
              <w:t xml:space="preserve">Strict alternating event–function chain makes concurrent branches (dev + QA running in parallel) clumsy; mostly a legacy, licensed-tool ecosystem [10]</w:t>
            </w:r>
          </w:p>
        </w:tc>
        <w:tc>
          <w:tcPr>
            <w:tcW w:w="1948" w:type="dxa"/>
            <w:tcBorders>
              <w:top w:val="single" w:color="000000" w:themeColor="text1" w:sz="5"/>
              <w:left w:val="single" w:color="000000" w:themeColor="text1" w:sz="5"/>
              <w:bottom w:val="single" w:color="000000" w:themeColor="text1" w:sz="5"/>
              <w:right w:val="single" w:color="000000" w:themeColor="text1" w:sz="5"/>
            </w:tcBorders>
            <w:shd w:val="clear" w:color="auto" w:fill="F2F2F2" w:themeFill="background1" w:themeFillShade="F2"/>
            <w:tcMar>
              <w:top w:w="80" w:type="dxa"/>
              <w:left w:w="100" w:type="dxa"/>
              <w:bottom w:w="80" w:type="dxa"/>
              <w:right w:w="100" w:type="dxa"/>
            </w:tcMar>
            <w:vAlign w:val="top"/>
          </w:tcPr>
          <w:p w:rsidR="79B0529B" w:rsidP="79B0529B" w:rsidRDefault="79B0529B" w14:paraId="64D7C479" w14:textId="1A5F0787">
            <w:pPr>
              <w:spacing w:before="0" w:beforeAutospacing="off" w:after="0" w:afterAutospacing="off"/>
            </w:pPr>
            <w:r>
              <w:rPr>
                <w:rFonts w:ascii="Arial" w:hAnsi="Arial" w:eastAsia="Arial" w:cs="Arial"/>
                <w:b w:val="0"/>
                <w:bCs w:val="0"/>
                <w:i w:val="0"/>
                <w:iCs w:val="0"/>
                <w:strike w:val="0"/>
                <w:dstrike w:val="0"/>
                <w:color w:val="000000" w:themeColor="text1" w:themeTint="FF" w:themeShade="FF"/>
                <w:sz w:val="22"/>
                <w:szCs w:val="22"/>
                <w:u w:val="none"/>
              </w:rPr>
              <w:t>Largely superseded by BPMN</w:t>
            </w:r>
          </w:p>
        </w:tc>
      </w:tr>
      <w:tr w:rsidR="79B0529B" w:rsidTr="79B0529B" w14:paraId="70E45FF1">
        <w:trPr>
          <w:trHeight w:val="885"/>
        </w:trPr>
        <w:tc>
          <w:tcPr>
            <w:tcW w:w="1543" w:type="dxa"/>
            <w:tcBorders>
              <w:top w:val="single" w:color="000000" w:themeColor="text1" w:sz="5"/>
              <w:left w:val="single" w:color="000000" w:themeColor="text1" w:sz="5"/>
              <w:bottom w:val="single" w:color="000000" w:themeColor="text1" w:sz="5"/>
              <w:right w:val="single" w:color="000000" w:themeColor="text1" w:sz="5"/>
            </w:tcBorders>
            <w:shd w:val="clear" w:color="auto" w:fill="FFFFFF" w:themeFill="background1"/>
            <w:tcMar>
              <w:top w:w="80" w:type="dxa"/>
              <w:left w:w="100" w:type="dxa"/>
              <w:bottom w:w="80" w:type="dxa"/>
              <w:right w:w="100" w:type="dxa"/>
            </w:tcMar>
            <w:vAlign w:val="top"/>
          </w:tcPr>
          <w:p w:rsidR="79B0529B" w:rsidP="79B0529B" w:rsidRDefault="79B0529B" w14:paraId="76FCC99D" w14:textId="4FA671EC">
            <w:pPr>
              <w:spacing w:before="0" w:beforeAutospacing="off" w:after="0" w:afterAutospacing="off"/>
            </w:pPr>
            <w:r>
              <w:rPr>
                <w:rFonts w:ascii="Arial" w:hAnsi="Arial" w:eastAsia="Arial" w:cs="Arial"/>
                <w:b w:val="0"/>
                <w:bCs w:val="0"/>
                <w:i w:val="0"/>
                <w:iCs w:val="0"/>
                <w:strike w:val="0"/>
                <w:dstrike w:val="0"/>
                <w:color w:val="000000" w:themeColor="text1" w:themeTint="FF" w:themeShade="FF"/>
                <w:sz w:val="22"/>
                <w:szCs w:val="22"/>
                <w:u w:val="none"/>
              </w:rPr>
              <w:t>Petri nets</w:t>
            </w:r>
          </w:p>
        </w:tc>
        <w:tc>
          <w:tcPr>
            <w:tcW w:w="2368" w:type="dxa"/>
            <w:tcBorders>
              <w:top w:val="single" w:color="000000" w:themeColor="text1" w:sz="5"/>
              <w:left w:val="single" w:color="000000" w:themeColor="text1" w:sz="5"/>
              <w:bottom w:val="single" w:color="000000" w:themeColor="text1" w:sz="5"/>
              <w:right w:val="single" w:color="000000" w:themeColor="text1" w:sz="5"/>
            </w:tcBorders>
            <w:shd w:val="clear" w:color="auto" w:fill="FFFFFF" w:themeFill="background1"/>
            <w:tcMar>
              <w:top w:w="80" w:type="dxa"/>
              <w:left w:w="100" w:type="dxa"/>
              <w:bottom w:w="80" w:type="dxa"/>
              <w:right w:w="100" w:type="dxa"/>
            </w:tcMar>
            <w:vAlign w:val="top"/>
          </w:tcPr>
          <w:p w:rsidR="79B0529B" w:rsidP="79B0529B" w:rsidRDefault="79B0529B" w14:paraId="7E5CC0A5" w14:textId="1BEF4E54">
            <w:pPr>
              <w:spacing w:before="0" w:beforeAutospacing="off" w:after="0" w:afterAutospacing="off"/>
            </w:pPr>
            <w:r>
              <w:rPr>
                <w:rFonts w:ascii="Arial" w:hAnsi="Arial" w:eastAsia="Arial" w:cs="Arial"/>
                <w:b w:val="0"/>
                <w:bCs w:val="0"/>
                <w:i w:val="0"/>
                <w:iCs w:val="0"/>
                <w:strike w:val="0"/>
                <w:dstrike w:val="0"/>
                <w:color w:val="000000" w:themeColor="text1" w:themeTint="FF" w:themeShade="FF"/>
                <w:sz w:val="22"/>
                <w:szCs w:val="22"/>
                <w:u w:val="none"/>
              </w:rPr>
              <w:t>Formal, mathematically verifiable modelling of concurrency</w:t>
            </w:r>
          </w:p>
        </w:tc>
        <w:tc>
          <w:tcPr>
            <w:tcW w:w="2683" w:type="dxa"/>
            <w:tcBorders>
              <w:top w:val="single" w:color="000000" w:themeColor="text1" w:sz="5"/>
              <w:left w:val="single" w:color="000000" w:themeColor="text1" w:sz="5"/>
              <w:bottom w:val="single" w:color="000000" w:themeColor="text1" w:sz="5"/>
              <w:right w:val="single" w:color="000000" w:themeColor="text1" w:sz="5"/>
            </w:tcBorders>
            <w:shd w:val="clear" w:color="auto" w:fill="FFFFFF" w:themeFill="background1"/>
            <w:tcMar>
              <w:top w:w="80" w:type="dxa"/>
              <w:left w:w="100" w:type="dxa"/>
              <w:bottom w:w="80" w:type="dxa"/>
              <w:right w:w="100" w:type="dxa"/>
            </w:tcMar>
            <w:vAlign w:val="top"/>
          </w:tcPr>
          <w:p w:rsidR="79B0529B" w:rsidP="79B0529B" w:rsidRDefault="79B0529B" w14:paraId="2F92390B" w14:textId="007B8F53">
            <w:pPr>
              <w:spacing w:before="0" w:beforeAutospacing="off" w:after="0" w:afterAutospacing="off"/>
            </w:pPr>
            <w:r>
              <w:rPr>
                <w:rFonts w:ascii="Arial" w:hAnsi="Arial" w:eastAsia="Arial" w:cs="Arial"/>
                <w:b w:val="0"/>
                <w:bCs w:val="0"/>
                <w:i w:val="0"/>
                <w:iCs w:val="0"/>
                <w:strike w:val="0"/>
                <w:dstrike w:val="0"/>
                <w:color w:val="000000" w:themeColor="text1" w:themeTint="FF" w:themeShade="FF"/>
                <w:sz w:val="22"/>
                <w:szCs w:val="22"/>
                <w:u w:val="none"/>
              </w:rPr>
              <w:t xml:space="preserve">Rigorous but not legible to a non-specialist; nobody hands a Petri net to a product owner [11]</w:t>
            </w:r>
          </w:p>
        </w:tc>
        <w:tc>
          <w:tcPr>
            <w:tcW w:w="1948" w:type="dxa"/>
            <w:tcBorders>
              <w:top w:val="single" w:color="000000" w:themeColor="text1" w:sz="5"/>
              <w:left w:val="single" w:color="000000" w:themeColor="text1" w:sz="5"/>
              <w:bottom w:val="single" w:color="000000" w:themeColor="text1" w:sz="5"/>
              <w:right w:val="single" w:color="000000" w:themeColor="text1" w:sz="5"/>
            </w:tcBorders>
            <w:shd w:val="clear" w:color="auto" w:fill="FFFFFF" w:themeFill="background1"/>
            <w:tcMar>
              <w:top w:w="80" w:type="dxa"/>
              <w:left w:w="100" w:type="dxa"/>
              <w:bottom w:w="80" w:type="dxa"/>
              <w:right w:w="100" w:type="dxa"/>
            </w:tcMar>
            <w:vAlign w:val="top"/>
          </w:tcPr>
          <w:p w:rsidR="79B0529B" w:rsidP="79B0529B" w:rsidRDefault="79B0529B" w14:paraId="2A8F9536" w14:textId="3D3DEAB2">
            <w:pPr>
              <w:spacing w:before="0" w:beforeAutospacing="off" w:after="0" w:afterAutospacing="off"/>
            </w:pPr>
            <w:r>
              <w:rPr>
                <w:rFonts w:ascii="Arial" w:hAnsi="Arial" w:eastAsia="Arial" w:cs="Arial"/>
                <w:b w:val="0"/>
                <w:bCs w:val="0"/>
                <w:i w:val="0"/>
                <w:iCs w:val="0"/>
                <w:strike w:val="0"/>
                <w:dstrike w:val="0"/>
                <w:color w:val="000000" w:themeColor="text1" w:themeTint="FF" w:themeShade="FF"/>
                <w:sz w:val="22"/>
                <w:szCs w:val="22"/>
                <w:u w:val="none"/>
              </w:rPr>
              <w:t>Too formal for communication</w:t>
            </w:r>
          </w:p>
        </w:tc>
      </w:tr>
      <w:tr w:rsidR="79B0529B" w:rsidTr="79B0529B" w14:paraId="52A82DB9">
        <w:trPr>
          <w:trHeight w:val="885"/>
        </w:trPr>
        <w:tc>
          <w:tcPr>
            <w:tcW w:w="1543" w:type="dxa"/>
            <w:tcBorders>
              <w:top w:val="single" w:color="000000" w:themeColor="text1" w:sz="5"/>
              <w:left w:val="single" w:color="000000" w:themeColor="text1" w:sz="5"/>
              <w:bottom w:val="single" w:color="000000" w:themeColor="text1" w:sz="5"/>
              <w:right w:val="single" w:color="000000" w:themeColor="text1" w:sz="5"/>
            </w:tcBorders>
            <w:shd w:val="clear" w:color="auto" w:fill="F2F2F2" w:themeFill="background1" w:themeFillShade="F2"/>
            <w:tcMar>
              <w:top w:w="80" w:type="dxa"/>
              <w:left w:w="100" w:type="dxa"/>
              <w:bottom w:w="80" w:type="dxa"/>
              <w:right w:w="100" w:type="dxa"/>
            </w:tcMar>
            <w:vAlign w:val="top"/>
          </w:tcPr>
          <w:p w:rsidR="79B0529B" w:rsidP="79B0529B" w:rsidRDefault="79B0529B" w14:paraId="4DE03112" w14:textId="3A8F5268">
            <w:pPr>
              <w:spacing w:before="0" w:beforeAutospacing="off" w:after="0" w:afterAutospacing="off"/>
            </w:pPr>
            <w:r>
              <w:rPr>
                <w:rFonts w:ascii="Arial" w:hAnsi="Arial" w:eastAsia="Arial" w:cs="Arial"/>
                <w:b w:val="0"/>
                <w:bCs w:val="0"/>
                <w:i w:val="0"/>
                <w:iCs w:val="0"/>
                <w:strike w:val="0"/>
                <w:dstrike w:val="0"/>
                <w:color w:val="000000" w:themeColor="text1" w:themeTint="FF" w:themeShade="FF"/>
                <w:sz w:val="22"/>
                <w:szCs w:val="22"/>
                <w:u w:val="none"/>
              </w:rPr>
              <w:t>Data Flow Diagram (DFD)</w:t>
            </w:r>
          </w:p>
        </w:tc>
        <w:tc>
          <w:tcPr>
            <w:tcW w:w="2368" w:type="dxa"/>
            <w:tcBorders>
              <w:top w:val="single" w:color="000000" w:themeColor="text1" w:sz="5"/>
              <w:left w:val="single" w:color="000000" w:themeColor="text1" w:sz="5"/>
              <w:bottom w:val="single" w:color="000000" w:themeColor="text1" w:sz="5"/>
              <w:right w:val="single" w:color="000000" w:themeColor="text1" w:sz="5"/>
            </w:tcBorders>
            <w:shd w:val="clear" w:color="auto" w:fill="F2F2F2" w:themeFill="background1" w:themeFillShade="F2"/>
            <w:tcMar>
              <w:top w:w="80" w:type="dxa"/>
              <w:left w:w="100" w:type="dxa"/>
              <w:bottom w:w="80" w:type="dxa"/>
              <w:right w:w="100" w:type="dxa"/>
            </w:tcMar>
            <w:vAlign w:val="top"/>
          </w:tcPr>
          <w:p w:rsidR="79B0529B" w:rsidP="79B0529B" w:rsidRDefault="79B0529B" w14:paraId="7EC1524B" w14:textId="55B49D66">
            <w:pPr>
              <w:spacing w:before="0" w:beforeAutospacing="off" w:after="0" w:afterAutospacing="off"/>
            </w:pPr>
            <w:r>
              <w:rPr>
                <w:rFonts w:ascii="Arial" w:hAnsi="Arial" w:eastAsia="Arial" w:cs="Arial"/>
                <w:b w:val="0"/>
                <w:bCs w:val="0"/>
                <w:i w:val="0"/>
                <w:iCs w:val="0"/>
                <w:strike w:val="0"/>
                <w:dstrike w:val="0"/>
                <w:color w:val="000000" w:themeColor="text1" w:themeTint="FF" w:themeShade="FF"/>
                <w:sz w:val="22"/>
                <w:szCs w:val="22"/>
                <w:u w:val="none"/>
              </w:rPr>
              <w:t>Tracing how data moves between stores and processes</w:t>
            </w:r>
          </w:p>
        </w:tc>
        <w:tc>
          <w:tcPr>
            <w:tcW w:w="2683" w:type="dxa"/>
            <w:tcBorders>
              <w:top w:val="single" w:color="000000" w:themeColor="text1" w:sz="5"/>
              <w:left w:val="single" w:color="000000" w:themeColor="text1" w:sz="5"/>
              <w:bottom w:val="single" w:color="000000" w:themeColor="text1" w:sz="5"/>
              <w:right w:val="single" w:color="000000" w:themeColor="text1" w:sz="5"/>
            </w:tcBorders>
            <w:shd w:val="clear" w:color="auto" w:fill="F2F2F2" w:themeFill="background1" w:themeFillShade="F2"/>
            <w:tcMar>
              <w:top w:w="80" w:type="dxa"/>
              <w:left w:w="100" w:type="dxa"/>
              <w:bottom w:w="80" w:type="dxa"/>
              <w:right w:w="100" w:type="dxa"/>
            </w:tcMar>
            <w:vAlign w:val="top"/>
          </w:tcPr>
          <w:p w:rsidR="79B0529B" w:rsidP="79B0529B" w:rsidRDefault="79B0529B" w14:paraId="438B208E" w14:textId="239F906C">
            <w:pPr>
              <w:spacing w:before="0" w:beforeAutospacing="off" w:after="0" w:afterAutospacing="off"/>
            </w:pPr>
            <w:r>
              <w:rPr>
                <w:rFonts w:ascii="Arial" w:hAnsi="Arial" w:eastAsia="Arial" w:cs="Arial"/>
                <w:b w:val="0"/>
                <w:bCs w:val="0"/>
                <w:i w:val="0"/>
                <w:iCs w:val="0"/>
                <w:strike w:val="0"/>
                <w:dstrike w:val="0"/>
                <w:color w:val="000000" w:themeColor="text1" w:themeTint="FF" w:themeShade="FF"/>
                <w:sz w:val="22"/>
                <w:szCs w:val="22"/>
                <w:u w:val="none"/>
              </w:rPr>
              <w:t xml:space="preserve">Says nothing about sequence, decisions, or who does what  not a process model at all [7]</w:t>
            </w:r>
          </w:p>
        </w:tc>
        <w:tc>
          <w:tcPr>
            <w:tcW w:w="1948" w:type="dxa"/>
            <w:tcBorders>
              <w:top w:val="single" w:color="000000" w:themeColor="text1" w:sz="5"/>
              <w:left w:val="single" w:color="000000" w:themeColor="text1" w:sz="5"/>
              <w:bottom w:val="single" w:color="000000" w:themeColor="text1" w:sz="5"/>
              <w:right w:val="single" w:color="000000" w:themeColor="text1" w:sz="5"/>
            </w:tcBorders>
            <w:shd w:val="clear" w:color="auto" w:fill="F2F2F2" w:themeFill="background1" w:themeFillShade="F2"/>
            <w:tcMar>
              <w:top w:w="80" w:type="dxa"/>
              <w:left w:w="100" w:type="dxa"/>
              <w:bottom w:w="80" w:type="dxa"/>
              <w:right w:w="100" w:type="dxa"/>
            </w:tcMar>
            <w:vAlign w:val="top"/>
          </w:tcPr>
          <w:p w:rsidR="79B0529B" w:rsidP="79B0529B" w:rsidRDefault="79B0529B" w14:paraId="4DFA3AF1" w14:textId="0B3B0BF6">
            <w:pPr>
              <w:spacing w:before="0" w:beforeAutospacing="off" w:after="0" w:afterAutospacing="off"/>
            </w:pPr>
            <w:r>
              <w:rPr>
                <w:rFonts w:ascii="Arial" w:hAnsi="Arial" w:eastAsia="Arial" w:cs="Arial"/>
                <w:b w:val="0"/>
                <w:bCs w:val="0"/>
                <w:i w:val="0"/>
                <w:iCs w:val="0"/>
                <w:strike w:val="0"/>
                <w:dstrike w:val="0"/>
                <w:color w:val="000000" w:themeColor="text1" w:themeTint="FF" w:themeShade="FF"/>
                <w:sz w:val="22"/>
                <w:szCs w:val="22"/>
                <w:u w:val="none"/>
              </w:rPr>
              <w:t>Different purpose entirely</w:t>
            </w:r>
          </w:p>
        </w:tc>
      </w:tr>
    </w:tbl>
    <w:p xmlns:wp14="http://schemas.microsoft.com/office/word/2010/wordml" w:rsidP="79B0529B" wp14:paraId="2E730973" wp14:textId="229BE65B">
      <w:pPr>
        <w:bidi w:val="0"/>
        <w:spacing w:before="40" w:beforeAutospacing="off" w:after="200" w:afterAutospacing="off"/>
      </w:pPr>
      <w:r>
        <w:rPr>
          <w:rFonts w:ascii="Arial" w:hAnsi="Arial" w:eastAsia="Arial" w:cs="Arial"/>
          <w:b w:val="0"/>
          <w:bCs w:val="0"/>
          <w:i w:val="1"/>
          <w:iCs w:val="1"/>
          <w:strike w:val="0"/>
          <w:dstrike w:val="0"/>
          <w:noProof w:val="0"/>
          <w:color w:val="595959" w:themeColor="text1" w:themeTint="A6" w:themeShade="FF"/>
          <w:sz w:val="18"/>
          <w:szCs w:val="18"/>
          <w:u w:val="none"/>
          <w:lang w:val="en-US"/>
        </w:rPr>
        <w:t>.</w:t>
      </w:r>
    </w:p>
    <w:p xmlns:wp14="http://schemas.microsoft.com/office/word/2010/wordml" w:rsidP="79B0529B" wp14:paraId="33A3FC72" wp14:textId="2441F919">
      <w:pPr>
        <w:bidi w:val="0"/>
        <w:spacing w:before="0" w:beforeAutospacing="off" w:after="160" w:afterAutospacing="off"/>
      </w:pPr>
      <w:r>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The short version: a flowchart is the right tool when a process genuinely has no branches or handoffs worth showing, and reaching for BPMN there is over-engineering the diagram. A UML activity diagram is the right tool when the audience is exclusively developers and the goal is describing what a system does internally, not what an organisation does across teams. BPMN earns its place specifically when a process crosses team or system boundaries and that crossing is the part worth showing  which describes our Part 2 exercise exactly [7], [9].</w:t>
      </w:r>
    </w:p>
    <w:p xmlns:wp14="http://schemas.microsoft.com/office/word/2010/wordml" w:rsidP="79B0529B" wp14:paraId="25903B4F" wp14:textId="1FEEB099">
      <w:pPr>
        <w:pStyle w:val="Heading1"/>
        <w:bidi w:val="0"/>
        <w:spacing w:before="320" w:beforeAutospacing="off" w:after="160" w:afterAutospacing="off"/>
      </w:pPr>
      <w:r>
        <w:rPr>
          <w:rFonts w:ascii="Arial" w:hAnsi="Arial" w:eastAsia="Arial" w:cs="Arial"/>
          <w:b w:val="1"/>
          <w:bCs w:val="1"/>
          <w:i w:val="0"/>
          <w:iCs w:val="0"/>
          <w:strike w:val="0"/>
          <w:dstrike w:val="0"/>
          <w:noProof w:val="0"/>
          <w:color w:val="000000" w:themeColor="text1" w:themeTint="FF" w:themeShade="FF"/>
          <w:sz w:val="28"/>
          <w:szCs w:val="28"/>
          <w:u w:val="none"/>
          <w:lang w:val="en-US"/>
        </w:rPr>
        <w:t>5. Benefits and drawbacks</w:t>
      </w:r>
    </w:p>
    <w:p xmlns:wp14="http://schemas.microsoft.com/office/word/2010/wordml" w:rsidP="79B0529B" wp14:paraId="0932D0C5" wp14:textId="714048D4">
      <w:pPr>
        <w:bidi w:val="0"/>
        <w:spacing w:before="0" w:beforeAutospacing="off" w:after="160" w:afterAutospacing="off"/>
      </w:pPr>
      <w:r>
        <w:rPr>
          <w:rFonts w:ascii="Arial" w:hAnsi="Arial" w:eastAsia="Arial" w:cs="Arial"/>
          <w:b w:val="0"/>
          <w:bCs w:val="0"/>
          <w:i w:val="0"/>
          <w:iCs w:val="0"/>
          <w:strike w:val="0"/>
          <w:dstrike w:val="0"/>
          <w:noProof w:val="0"/>
          <w:color w:val="000000" w:themeColor="text1" w:themeTint="FF" w:themeShade="FF"/>
          <w:sz w:val="22"/>
          <w:szCs w:val="22"/>
          <w:u w:val="none"/>
          <w:lang w:val="en-US"/>
        </w:rPr>
        <w:t>Neither list below is theoretical; both come directly from how BPMN behaves once a team actually starts using it, not from a features comparison.</w:t>
      </w:r>
    </w:p>
    <w:tbl>
      <w:tblPr>
        <w:tblStyle w:val="TableNormal"/>
        <w:bidiVisual w:val="0"/>
        <w:tblW w:w="0" w:type="auto"/>
        <w:tblLook w:val="06A0" w:firstRow="1" w:lastRow="0" w:firstColumn="1" w:lastColumn="0" w:noHBand="1" w:noVBand="1"/>
      </w:tblPr>
      <w:tblGrid>
        <w:gridCol w:w="4483"/>
        <w:gridCol w:w="4483"/>
      </w:tblGrid>
      <w:tr w:rsidR="79B0529B" w:rsidTr="79B0529B" w14:paraId="4F2DFE28">
        <w:trPr>
          <w:trHeight w:val="405"/>
        </w:trPr>
        <w:tc>
          <w:tcPr>
            <w:tcW w:w="4483" w:type="dxa"/>
            <w:tcBorders>
              <w:top w:val="single" w:color="000000" w:themeColor="text1" w:sz="5"/>
              <w:left w:val="single" w:color="000000" w:themeColor="text1" w:sz="5"/>
              <w:bottom w:val="single" w:color="000000" w:themeColor="text1" w:sz="5"/>
              <w:right w:val="single" w:color="000000" w:themeColor="text1" w:sz="5"/>
            </w:tcBorders>
            <w:shd w:val="clear" w:color="auto" w:fill="2E7D32"/>
            <w:tcMar>
              <w:top w:w="80" w:type="dxa"/>
              <w:left w:w="100" w:type="dxa"/>
              <w:bottom w:w="80" w:type="dxa"/>
              <w:right w:w="100" w:type="dxa"/>
            </w:tcMar>
            <w:vAlign w:val="top"/>
          </w:tcPr>
          <w:p w:rsidR="79B0529B" w:rsidP="79B0529B" w:rsidRDefault="79B0529B" w14:paraId="344A575C" w14:textId="0BA817A3">
            <w:pPr>
              <w:bidi w:val="0"/>
              <w:spacing w:before="0" w:beforeAutospacing="off" w:after="0" w:afterAutospacing="off"/>
            </w:pPr>
            <w:r>
              <w:rPr>
                <w:rFonts w:ascii="Arial" w:hAnsi="Arial" w:eastAsia="Arial" w:cs="Arial"/>
                <w:b w:val="1"/>
                <w:bCs w:val="1"/>
                <w:i w:val="0"/>
                <w:iCs w:val="0"/>
                <w:strike w:val="0"/>
                <w:dstrike w:val="0"/>
                <w:color w:val="FFFFFF" w:themeColor="background1" w:themeTint="FF" w:themeShade="FF"/>
                <w:sz w:val="22"/>
                <w:szCs w:val="22"/>
                <w:u w:val="none"/>
              </w:rPr>
              <w:t>Benefits</w:t>
            </w:r>
          </w:p>
        </w:tc>
        <w:tc>
          <w:tcPr>
            <w:tcW w:w="4483" w:type="dxa"/>
            <w:tcBorders>
              <w:top w:val="single" w:color="000000" w:themeColor="text1" w:sz="5"/>
              <w:left w:val="single" w:color="000000" w:themeColor="text1" w:sz="5"/>
              <w:bottom w:val="single" w:color="000000" w:themeColor="text1" w:sz="5"/>
              <w:right w:val="single" w:color="000000" w:themeColor="text1" w:sz="5"/>
            </w:tcBorders>
            <w:shd w:val="clear" w:color="auto" w:fill="8B0000"/>
            <w:tcMar>
              <w:top w:w="80" w:type="dxa"/>
              <w:left w:w="100" w:type="dxa"/>
              <w:bottom w:w="80" w:type="dxa"/>
              <w:right w:w="100" w:type="dxa"/>
            </w:tcMar>
            <w:vAlign w:val="top"/>
          </w:tcPr>
          <w:p w:rsidR="79B0529B" w:rsidP="79B0529B" w:rsidRDefault="79B0529B" w14:paraId="01D806AC" w14:textId="416B4898">
            <w:pPr>
              <w:bidi w:val="0"/>
              <w:spacing w:before="0" w:beforeAutospacing="off" w:after="0" w:afterAutospacing="off"/>
            </w:pPr>
            <w:r>
              <w:rPr>
                <w:rFonts w:ascii="Arial" w:hAnsi="Arial" w:eastAsia="Arial" w:cs="Arial"/>
                <w:b w:val="1"/>
                <w:bCs w:val="1"/>
                <w:i w:val="0"/>
                <w:iCs w:val="0"/>
                <w:strike w:val="0"/>
                <w:dstrike w:val="0"/>
                <w:color w:val="FFFFFF" w:themeColor="background1" w:themeTint="FF" w:themeShade="FF"/>
                <w:sz w:val="22"/>
                <w:szCs w:val="22"/>
                <w:u w:val="none"/>
              </w:rPr>
              <w:t>Drawbacks</w:t>
            </w:r>
          </w:p>
        </w:tc>
      </w:tr>
      <w:tr w:rsidR="79B0529B" w:rsidTr="79B0529B" w14:paraId="58410F81">
        <w:trPr>
          <w:trHeight w:val="885"/>
        </w:trPr>
        <w:tc>
          <w:tcPr>
            <w:tcW w:w="4483" w:type="dxa"/>
            <w:tcBorders>
              <w:top w:val="single" w:color="000000" w:themeColor="text1" w:sz="5"/>
              <w:left w:val="single" w:color="000000" w:themeColor="text1" w:sz="5"/>
              <w:bottom w:val="single" w:color="000000" w:themeColor="text1" w:sz="5"/>
              <w:right w:val="single" w:color="000000" w:themeColor="text1" w:sz="5"/>
            </w:tcBorders>
            <w:shd w:val="clear" w:color="auto" w:fill="F2F2F2" w:themeFill="background1" w:themeFillShade="F2"/>
            <w:tcMar>
              <w:top w:w="80" w:type="dxa"/>
              <w:left w:w="100" w:type="dxa"/>
              <w:bottom w:w="80" w:type="dxa"/>
              <w:right w:w="100" w:type="dxa"/>
            </w:tcMar>
            <w:vAlign w:val="top"/>
          </w:tcPr>
          <w:p w:rsidR="79B0529B" w:rsidP="79B0529B" w:rsidRDefault="79B0529B" w14:paraId="35A7BA60" w14:textId="24E8C3F4">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2"/>
                <w:szCs w:val="22"/>
                <w:u w:val="none"/>
              </w:rPr>
              <w:t xml:space="preserve">One ISO standard (ISO/IEC 19510), so a diagram made in Camunda Modeler can be exported as standard BPMN 2.0 XML and opened in other compliant tools [1], [2]</w:t>
            </w:r>
          </w:p>
        </w:tc>
        <w:tc>
          <w:tcPr>
            <w:tcW w:w="4483" w:type="dxa"/>
            <w:tcBorders>
              <w:top w:val="single" w:color="000000" w:themeColor="text1" w:sz="5"/>
              <w:left w:val="single" w:color="000000" w:themeColor="text1" w:sz="5"/>
              <w:bottom w:val="single" w:color="000000" w:themeColor="text1" w:sz="5"/>
              <w:right w:val="single" w:color="000000" w:themeColor="text1" w:sz="5"/>
            </w:tcBorders>
            <w:shd w:val="clear" w:color="auto" w:fill="F2F2F2" w:themeFill="background1" w:themeFillShade="F2"/>
            <w:tcMar>
              <w:top w:w="80" w:type="dxa"/>
              <w:left w:w="100" w:type="dxa"/>
              <w:bottom w:w="80" w:type="dxa"/>
              <w:right w:w="100" w:type="dxa"/>
            </w:tcMar>
            <w:vAlign w:val="top"/>
          </w:tcPr>
          <w:p w:rsidR="79B0529B" w:rsidP="79B0529B" w:rsidRDefault="79B0529B" w14:paraId="4AF25A2A" w14:textId="2ED4E241">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2"/>
                <w:szCs w:val="22"/>
                <w:u w:val="none"/>
              </w:rPr>
              <w:t xml:space="preserve">Full symbol set is large; a diagram that uses every gateway type is harder to read than the process it describes [8], [12]</w:t>
            </w:r>
          </w:p>
        </w:tc>
      </w:tr>
      <w:tr w:rsidR="79B0529B" w:rsidTr="79B0529B" w14:paraId="251A80A2">
        <w:trPr>
          <w:trHeight w:val="885"/>
        </w:trPr>
        <w:tc>
          <w:tcPr>
            <w:tcW w:w="4483" w:type="dxa"/>
            <w:tcBorders>
              <w:top w:val="single" w:color="000000" w:themeColor="text1" w:sz="5"/>
              <w:left w:val="single" w:color="000000" w:themeColor="text1" w:sz="5"/>
              <w:bottom w:val="single" w:color="000000" w:themeColor="text1" w:sz="5"/>
              <w:right w:val="single" w:color="000000" w:themeColor="text1" w:sz="5"/>
            </w:tcBorders>
            <w:shd w:val="clear" w:color="auto" w:fill="FFFFFF" w:themeFill="background1"/>
            <w:tcMar>
              <w:top w:w="80" w:type="dxa"/>
              <w:left w:w="100" w:type="dxa"/>
              <w:bottom w:w="80" w:type="dxa"/>
              <w:right w:w="100" w:type="dxa"/>
            </w:tcMar>
            <w:vAlign w:val="top"/>
          </w:tcPr>
          <w:p w:rsidR="79B0529B" w:rsidP="79B0529B" w:rsidRDefault="79B0529B" w14:paraId="12463101" w14:textId="608FC2C2">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2"/>
                <w:szCs w:val="22"/>
                <w:u w:val="none"/>
              </w:rPr>
              <w:t xml:space="preserve">Same diagram serves the business analyst, the developer and the end user  removes the “translation” step between a requirements doc and a technical spec [4]</w:t>
            </w:r>
          </w:p>
        </w:tc>
        <w:tc>
          <w:tcPr>
            <w:tcW w:w="4483" w:type="dxa"/>
            <w:tcBorders>
              <w:top w:val="single" w:color="000000" w:themeColor="text1" w:sz="5"/>
              <w:left w:val="single" w:color="000000" w:themeColor="text1" w:sz="5"/>
              <w:bottom w:val="single" w:color="000000" w:themeColor="text1" w:sz="5"/>
              <w:right w:val="single" w:color="000000" w:themeColor="text1" w:sz="5"/>
            </w:tcBorders>
            <w:shd w:val="clear" w:color="auto" w:fill="FFFFFF" w:themeFill="background1"/>
            <w:tcMar>
              <w:top w:w="80" w:type="dxa"/>
              <w:left w:w="100" w:type="dxa"/>
              <w:bottom w:w="80" w:type="dxa"/>
              <w:right w:w="100" w:type="dxa"/>
            </w:tcMar>
            <w:vAlign w:val="top"/>
          </w:tcPr>
          <w:p w:rsidR="79B0529B" w:rsidP="79B0529B" w:rsidRDefault="79B0529B" w14:paraId="4B8492B7" w14:textId="254B5234">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2"/>
                <w:szCs w:val="22"/>
                <w:u w:val="none"/>
              </w:rPr>
              <w:t xml:space="preserve">No Business Process Management System implements the full BPMN 2.0 specification, so “executable” models still need per-engine adjustment [12]</w:t>
            </w:r>
          </w:p>
        </w:tc>
      </w:tr>
      <w:tr w:rsidR="79B0529B" w:rsidTr="79B0529B" w14:paraId="0E29AA02">
        <w:trPr>
          <w:trHeight w:val="885"/>
        </w:trPr>
        <w:tc>
          <w:tcPr>
            <w:tcW w:w="4483" w:type="dxa"/>
            <w:tcBorders>
              <w:top w:val="single" w:color="000000" w:themeColor="text1" w:sz="5"/>
              <w:left w:val="single" w:color="000000" w:themeColor="text1" w:sz="5"/>
              <w:bottom w:val="single" w:color="000000" w:themeColor="text1" w:sz="5"/>
              <w:right w:val="single" w:color="000000" w:themeColor="text1" w:sz="5"/>
            </w:tcBorders>
            <w:shd w:val="clear" w:color="auto" w:fill="F2F2F2" w:themeFill="background1" w:themeFillShade="F2"/>
            <w:tcMar>
              <w:top w:w="80" w:type="dxa"/>
              <w:left w:w="100" w:type="dxa"/>
              <w:bottom w:w="80" w:type="dxa"/>
              <w:right w:w="100" w:type="dxa"/>
            </w:tcMar>
            <w:vAlign w:val="top"/>
          </w:tcPr>
          <w:p w:rsidR="79B0529B" w:rsidP="79B0529B" w:rsidRDefault="79B0529B" w14:paraId="1A749268" w14:textId="39920D7A">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2"/>
                <w:szCs w:val="22"/>
                <w:u w:val="none"/>
              </w:rPr>
              <w:t xml:space="preserve">BPMN 2.0 files are XML  the diagram is the source code. Engines such as Camunda or Zeebe run it directly, with no separate implementation step [5]</w:t>
            </w:r>
          </w:p>
        </w:tc>
        <w:tc>
          <w:tcPr>
            <w:tcW w:w="4483" w:type="dxa"/>
            <w:tcBorders>
              <w:top w:val="single" w:color="000000" w:themeColor="text1" w:sz="5"/>
              <w:left w:val="single" w:color="000000" w:themeColor="text1" w:sz="5"/>
              <w:bottom w:val="single" w:color="000000" w:themeColor="text1" w:sz="5"/>
              <w:right w:val="single" w:color="000000" w:themeColor="text1" w:sz="5"/>
            </w:tcBorders>
            <w:shd w:val="clear" w:color="auto" w:fill="F2F2F2" w:themeFill="background1" w:themeFillShade="F2"/>
            <w:tcMar>
              <w:top w:w="80" w:type="dxa"/>
              <w:left w:w="100" w:type="dxa"/>
              <w:bottom w:w="80" w:type="dxa"/>
              <w:right w:w="100" w:type="dxa"/>
            </w:tcMar>
            <w:vAlign w:val="top"/>
          </w:tcPr>
          <w:p w:rsidR="79B0529B" w:rsidP="79B0529B" w:rsidRDefault="79B0529B" w14:paraId="0F3BF26D" w14:textId="1B52569E">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2"/>
                <w:szCs w:val="22"/>
                <w:u w:val="none"/>
              </w:rPr>
              <w:t xml:space="preserve">Editing a large diagram is riskier than editing code: a moved gateway can silently change the logic, and diff/version-control tooling is far weaker than for text [12]</w:t>
            </w:r>
          </w:p>
        </w:tc>
      </w:tr>
      <w:tr w:rsidR="79B0529B" w:rsidTr="79B0529B" w14:paraId="78080AE7">
        <w:trPr>
          <w:trHeight w:val="1125"/>
        </w:trPr>
        <w:tc>
          <w:tcPr>
            <w:tcW w:w="4483" w:type="dxa"/>
            <w:tcBorders>
              <w:top w:val="single" w:color="000000" w:themeColor="text1" w:sz="5"/>
              <w:left w:val="single" w:color="000000" w:themeColor="text1" w:sz="5"/>
              <w:bottom w:val="single" w:color="000000" w:themeColor="text1" w:sz="5"/>
              <w:right w:val="single" w:color="000000" w:themeColor="text1" w:sz="5"/>
            </w:tcBorders>
            <w:shd w:val="clear" w:color="auto" w:fill="FFFFFF" w:themeFill="background1"/>
            <w:tcMar>
              <w:top w:w="80" w:type="dxa"/>
              <w:left w:w="100" w:type="dxa"/>
              <w:bottom w:w="80" w:type="dxa"/>
              <w:right w:w="100" w:type="dxa"/>
            </w:tcMar>
            <w:vAlign w:val="top"/>
          </w:tcPr>
          <w:p w:rsidR="79B0529B" w:rsidP="79B0529B" w:rsidRDefault="79B0529B" w14:paraId="3E2D10E8" w14:textId="7927406C">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2"/>
                <w:szCs w:val="22"/>
                <w:u w:val="none"/>
              </w:rPr>
              <w:t xml:space="preserve">Ships proven concurrency and error-handling patterns (parallel gateways, timers, boundary/error events) that most teams would otherwise reinvent in application code [5], [6]</w:t>
            </w:r>
          </w:p>
        </w:tc>
        <w:tc>
          <w:tcPr>
            <w:tcW w:w="4483" w:type="dxa"/>
            <w:tcBorders>
              <w:top w:val="single" w:color="000000" w:themeColor="text1" w:sz="5"/>
              <w:left w:val="single" w:color="000000" w:themeColor="text1" w:sz="5"/>
              <w:bottom w:val="single" w:color="000000" w:themeColor="text1" w:sz="5"/>
              <w:right w:val="single" w:color="000000" w:themeColor="text1" w:sz="5"/>
            </w:tcBorders>
            <w:shd w:val="clear" w:color="auto" w:fill="FFFFFF" w:themeFill="background1"/>
            <w:tcMar>
              <w:top w:w="80" w:type="dxa"/>
              <w:left w:w="100" w:type="dxa"/>
              <w:bottom w:w="80" w:type="dxa"/>
              <w:right w:w="100" w:type="dxa"/>
            </w:tcMar>
            <w:vAlign w:val="top"/>
          </w:tcPr>
          <w:p w:rsidR="79B0529B" w:rsidP="79B0529B" w:rsidRDefault="79B0529B" w14:paraId="3D9F23E5" w14:textId="3069CF03">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2"/>
                <w:szCs w:val="22"/>
                <w:u w:val="none"/>
              </w:rPr>
              <w:t xml:space="preserve">Assumes a structured process with a clear start and end; unstructured, case-by-case work (e.g. ad hoc investigation) does not map onto it well [8]</w:t>
            </w:r>
          </w:p>
        </w:tc>
      </w:tr>
      <w:tr w:rsidR="79B0529B" w:rsidTr="79B0529B" w14:paraId="691625CF">
        <w:trPr>
          <w:trHeight w:val="885"/>
        </w:trPr>
        <w:tc>
          <w:tcPr>
            <w:tcW w:w="4483" w:type="dxa"/>
            <w:tcBorders>
              <w:top w:val="single" w:color="000000" w:themeColor="text1" w:sz="5"/>
              <w:left w:val="single" w:color="000000" w:themeColor="text1" w:sz="5"/>
              <w:bottom w:val="single" w:color="000000" w:themeColor="text1" w:sz="5"/>
              <w:right w:val="single" w:color="000000" w:themeColor="text1" w:sz="5"/>
            </w:tcBorders>
            <w:shd w:val="clear" w:color="auto" w:fill="F2F2F2" w:themeFill="background1" w:themeFillShade="F2"/>
            <w:tcMar>
              <w:top w:w="80" w:type="dxa"/>
              <w:left w:w="100" w:type="dxa"/>
              <w:bottom w:w="80" w:type="dxa"/>
              <w:right w:w="100" w:type="dxa"/>
            </w:tcMar>
            <w:vAlign w:val="top"/>
          </w:tcPr>
          <w:p w:rsidR="79B0529B" w:rsidP="79B0529B" w:rsidRDefault="79B0529B" w14:paraId="777CAAE5" w14:textId="753CC45C">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2"/>
                <w:szCs w:val="22"/>
                <w:u w:val="none"/>
              </w:rPr>
              <w:t xml:space="preserve">Encourages separating the happy path from exception handling, which tends to produce cleaner, more maintainable workflow code [6]</w:t>
            </w:r>
          </w:p>
        </w:tc>
        <w:tc>
          <w:tcPr>
            <w:tcW w:w="4483" w:type="dxa"/>
            <w:tcBorders>
              <w:top w:val="single" w:color="000000" w:themeColor="text1" w:sz="5"/>
              <w:left w:val="single" w:color="000000" w:themeColor="text1" w:sz="5"/>
              <w:bottom w:val="single" w:color="000000" w:themeColor="text1" w:sz="5"/>
              <w:right w:val="single" w:color="000000" w:themeColor="text1" w:sz="5"/>
            </w:tcBorders>
            <w:shd w:val="clear" w:color="auto" w:fill="F2F2F2" w:themeFill="background1" w:themeFillShade="F2"/>
            <w:tcMar>
              <w:top w:w="80" w:type="dxa"/>
              <w:left w:w="100" w:type="dxa"/>
              <w:bottom w:w="80" w:type="dxa"/>
              <w:right w:w="100" w:type="dxa"/>
            </w:tcMar>
            <w:vAlign w:val="top"/>
          </w:tcPr>
          <w:p w:rsidR="79B0529B" w:rsidP="79B0529B" w:rsidRDefault="79B0529B" w14:paraId="0A31717E" w14:textId="7CAA955A">
            <w:pPr>
              <w:bidi w:val="0"/>
              <w:spacing w:before="0" w:beforeAutospacing="off" w:after="0" w:afterAutospacing="off"/>
            </w:pPr>
            <w:r>
              <w:rPr>
                <w:rFonts w:ascii="Arial" w:hAnsi="Arial" w:eastAsia="Arial" w:cs="Arial"/>
                <w:b w:val="0"/>
                <w:bCs w:val="0"/>
                <w:i w:val="0"/>
                <w:iCs w:val="0"/>
                <w:strike w:val="0"/>
                <w:dstrike w:val="0"/>
                <w:color w:val="000000" w:themeColor="text1" w:themeTint="FF" w:themeShade="FF"/>
                <w:sz w:val="22"/>
                <w:szCs w:val="22"/>
                <w:u w:val="none"/>
              </w:rPr>
              <w:t xml:space="preserve">Genuinely takes time to learn well  reading a complex diagram correctly is closer to reading unfamiliar code than to reading a flowchart [12]</w:t>
            </w:r>
          </w:p>
        </w:tc>
      </w:tr>
    </w:tbl>
    <w:p xmlns:wp14="http://schemas.microsoft.com/office/word/2010/wordml" wp14:paraId="1DDFA55E" wp14:textId="0F8CA536"/>
    <w:p xmlns:wp14="http://schemas.microsoft.com/office/word/2010/wordml" wp14:paraId="1EA2459F" wp14:textId="35DB792D"/>
    <w:p xmlns:wp14="http://schemas.microsoft.com/office/word/2010/wordml" wp14:paraId="35BF9594" wp14:textId="728580CD"/>
    <w:p xmlns:wp14="http://schemas.microsoft.com/office/word/2010/wordml" wp14:paraId="4AE2DA4C" wp14:textId="546F3A2F"/>
    <w:p xmlns:wp14="http://schemas.microsoft.com/office/word/2010/wordml" w:rsidP="79B0529B" wp14:paraId="6CEAAE37" wp14:textId="2DF80AE2">
      <w:pPr>
        <w:pStyle w:val="Normal"/>
      </w:pPr>
    </w:p>
    <w:p w:rsidP="79B0529B">
      <w:pPr>
        <w:pStyle w:val="Heading1"/>
        <w:bidi w:val="0"/>
        <w:spacing w:before="320" w:beforeAutospacing="off" w:after="160" w:afterAutospacing="off"/>
      </w:pPr>
      <w:r>
        <w:rPr>
          <w:rFonts w:ascii="Arial" w:hAnsi="Arial" w:eastAsia="Arial" w:cs="Arial"/>
          <w:b w:val="1"/>
          <w:bCs w:val="1"/>
          <w:i w:val="0"/>
          <w:iCs w:val="0"/>
          <w:strike w:val="0"/>
          <w:dstrike w:val="0"/>
          <w:noProof w:val="0"/>
          <w:color w:val="000000" w:themeColor="text1" w:themeTint="FF" w:themeShade="FF"/>
          <w:sz w:val="28"/>
          <w:szCs w:val="28"/>
          <w:u w:val="none"/>
          <w:lang w:val="en-US"/>
        </w:rPr>
        <w:t xml:space="preserve">6. BPMN in practice: three companies</w:t>
      </w:r>
    </w:p>
    <w:p w:rsidP="79B0529B">
      <w:pPr>
        <w:bidi w:val="0"/>
        <w:spacing w:before="0" w:beforeAutospacing="off" w:after="160" w:afterAutospacing="off"/>
      </w:pPr>
      <w:r>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The three companies below come from three different sectors, but all of them run their BPMN models on the Camunda engine. That makes them good illustrations of section 3: in each case the diagram is the workflow that actually executes in production, not documentation drawn after the fact.</w:t>
      </w:r>
    </w:p>
    <w:p w:rsidP="79B0529B">
      <w:pPr>
        <w:bidi w:val="0"/>
        <w:spacing w:before="0" w:beforeAutospacing="off" w:after="160" w:afterAutospacing="off"/>
      </w:pPr>
      <w:r>
        <w:rPr>
          <w:rFonts w:ascii="Arial" w:hAnsi="Arial" w:eastAsia="Arial" w:cs="Arial"/>
          <w:b/>
          <w:bCs/>
          <w:i w:val="0"/>
          <w:iCs w:val="0"/>
          <w:strike w:val="0"/>
          <w:dstrike w:val="0"/>
          <w:noProof w:val="0"/>
          <w:color w:val="000000" w:themeColor="text1" w:themeTint="FF" w:themeShade="FF"/>
          <w:sz w:val="22"/>
          <w:szCs w:val="22"/>
          <w:u w:val="none"/>
          <w:lang w:val="en-US"/>
        </w:rPr>
        <w:t xml:space="preserve">Zalando (e-commerce, Germany). </w:t>
      </w:r>
      <w:r>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The Berlin-based online fashion retailer uses BPMN on Camunda to orchestrate its sales order process: everything that happens in the back end after a customer places an order, through to its 11 fulfilment centres in seven European markets. The platform serves around 42 million active customers in 20 markets. Zalando chose BPMN because the diagrams are readable by both engineers and domain owners, because binding the diagrams to the source code made changes simpler, and because the engine scales to peak periods such as Black Friday [13]. Use case: high-volume order orchestration.</w:t>
      </w:r>
    </w:p>
    <w:p w:rsidP="79B0529B">
      <w:pPr>
        <w:bidi w:val="0"/>
        <w:spacing w:before="0" w:beforeAutospacing="off" w:after="160" w:afterAutospacing="off"/>
      </w:pPr>
      <w:r>
        <w:rPr>
          <w:rFonts w:ascii="Arial" w:hAnsi="Arial" w:eastAsia="Arial" w:cs="Arial"/>
          <w:b/>
          <w:bCs/>
          <w:i w:val="0"/>
          <w:iCs w:val="0"/>
          <w:strike w:val="0"/>
          <w:dstrike w:val="0"/>
          <w:noProof w:val="0"/>
          <w:color w:val="000000" w:themeColor="text1" w:themeTint="FF" w:themeShade="FF"/>
          <w:sz w:val="22"/>
          <w:szCs w:val="22"/>
          <w:u w:val="none"/>
          <w:lang w:val="en-US"/>
        </w:rPr>
        <w:t xml:space="preserve">Deutsche Telekom (telecommunications, Germany). </w:t>
      </w:r>
      <w:r>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Deutsche Telekom IT, the group’s internal IT provider with about 9,700 employees, replaced a monolithic Oracle BPEL system that had been in place since 2007 with Camunda engines running inside many microservices that talk to each other through a message broker. Camunda also became the orchestration layer over roughly 3,000 RPA bots, so process logic that spans bots, APIs and people is visible in one BPMN model. The company reports faster time-to-market, one shared modelling language for business and development teams, and real-time visibility of running processes [14]. Use case: microservice and RPA orchestration.</w:t>
      </w:r>
    </w:p>
    <w:p w:rsidP="79B0529B">
      <w:pPr>
        <w:bidi w:val="0"/>
        <w:spacing w:before="0" w:beforeAutospacing="off" w:after="160" w:afterAutospacing="off"/>
      </w:pPr>
      <w:r>
        <w:rPr>
          <w:rFonts w:ascii="Arial" w:hAnsi="Arial" w:eastAsia="Arial" w:cs="Arial"/>
          <w:b/>
          <w:bCs/>
          <w:i w:val="0"/>
          <w:iCs w:val="0"/>
          <w:strike w:val="0"/>
          <w:dstrike w:val="0"/>
          <w:noProof w:val="0"/>
          <w:color w:val="000000" w:themeColor="text1" w:themeTint="FF" w:themeShade="FF"/>
          <w:sz w:val="22"/>
          <w:szCs w:val="22"/>
          <w:u w:val="none"/>
          <w:lang w:val="en-US"/>
        </w:rPr>
        <w:t xml:space="preserve">Jyske Bank (banking, Denmark). </w:t>
      </w:r>
      <w:r>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Jyske Bank uses BPMN to run its Know Your Customer (KYC) compliance process in three parts: updating data on existing customers, routing new customers through KYC checks according to their profile, and the periodic KYC reviews that regulators require. The models combine automated steps, manual user tasks, timers and compliance deadlines across several teams, for hundreds of thousands of customers. The bank reports that employees save up to 80% of the time previously spent on these manual tasks, and that parts of the processes can be reused in new process solutions [15]. Use case: long-running, regulated processes with timers and human tasks.</w:t>
      </w:r>
    </w:p>
    <w:p w:rsidP="79B0529B">
      <w:pPr>
        <w:bidi w:val="0"/>
        <w:spacing w:before="0" w:beforeAutospacing="off" w:after="160" w:afterAutospacing="off"/>
      </w:pPr>
      <w:r>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Taken together, the three cases line up with the arguments in section 3: Zalando shows the diagram running at high volume, Deutsche Telekom shows BPMN coordinating microservices without hard-wiring them, and Jyske Bank shows timers and human tasks handled by the engine instead of by hand.</w:t>
      </w:r>
    </w:p>
    <w:p xmlns:wp14="http://schemas.microsoft.com/office/word/2010/wordml" w:rsidP="79B0529B" wp14:paraId="71CEEB0C" wp14:textId="590F5F3C">
      <w:pPr>
        <w:pStyle w:val="Heading1"/>
        <w:bidi w:val="0"/>
        <w:spacing w:before="320" w:beforeAutospacing="off" w:after="160" w:afterAutospacing="off"/>
      </w:pPr>
      <w:r>
        <w:rPr>
          <w:rFonts w:ascii="Arial" w:hAnsi="Arial" w:eastAsia="Arial" w:cs="Arial"/>
          <w:b w:val="1"/>
          <w:bCs w:val="1"/>
          <w:i w:val="0"/>
          <w:iCs w:val="0"/>
          <w:strike w:val="0"/>
          <w:dstrike w:val="0"/>
          <w:noProof w:val="0"/>
          <w:color w:val="000000" w:themeColor="text1" w:themeTint="FF" w:themeShade="FF"/>
          <w:sz w:val="28"/>
          <w:szCs w:val="28"/>
          <w:u w:val="none"/>
          <w:lang w:val="en-US"/>
        </w:rPr>
        <w:t>References</w:t>
      </w:r>
    </w:p>
    <w:p w:rsidP="79B0529B">
      <w:pPr>
        <w:bidi w:val="0"/>
        <w:spacing w:before="0" w:beforeAutospacing="off" w:after="160" w:afterAutospacing="off"/>
      </w:pPr>
      <w:r>
        <w:rPr>
          <w:rFonts w:ascii="Arial" w:hAnsi="Arial" w:eastAsia="Arial" w:cs="Arial"/>
          <w:b w:val="0"/>
          <w:bCs w:val="0"/>
          <w:i w:val="0"/>
          <w:iCs w:val="0"/>
          <w:strike w:val="0"/>
          <w:dstrike w:val="0"/>
          <w:noProof w:val="0"/>
          <w:color w:val="444444"/>
          <w:sz w:val="22"/>
          <w:szCs w:val="22"/>
          <w:u w:val="none"/>
          <w:lang w:val="en-US"/>
        </w:rPr>
        <w:t xml:space="preserve">[1] Object Management Group, “Business Process Model and Notation (BPMN), Version 2.0.2,” OMG, 2014. [Online]. Available: https://www.omg.org/spec/BPMN/</w:t>
      </w:r>
    </w:p>
    <w:p w:rsidP="79B0529B">
      <w:pPr>
        <w:bidi w:val="0"/>
        <w:spacing w:before="0" w:beforeAutospacing="off" w:after="160" w:afterAutospacing="off"/>
      </w:pPr>
      <w:r>
        <w:rPr>
          <w:rFonts w:ascii="Arial" w:hAnsi="Arial" w:eastAsia="Arial" w:cs="Arial"/>
          <w:b w:val="0"/>
          <w:bCs w:val="0"/>
          <w:i w:val="0"/>
          <w:iCs w:val="0"/>
          <w:strike w:val="0"/>
          <w:dstrike w:val="0"/>
          <w:noProof w:val="0"/>
          <w:color w:val="444444"/>
          <w:sz w:val="22"/>
          <w:szCs w:val="22"/>
          <w:u w:val="none"/>
          <w:lang w:val="en-US"/>
        </w:rPr>
        <w:t xml:space="preserve">[2] ISO/IEC 19510:2013, Information technology — Object Management Group Business Process Model and Notation. Geneva, Switzerland: ISO, 2013. [Online]. Available: https://www.iso.org/standard/62652.html</w:t>
      </w:r>
    </w:p>
    <w:p w:rsidP="79B0529B">
      <w:pPr>
        <w:bidi w:val="0"/>
        <w:spacing w:before="0" w:beforeAutospacing="off" w:after="160" w:afterAutospacing="off"/>
      </w:pPr>
      <w:r>
        <w:rPr>
          <w:rFonts w:ascii="Arial" w:hAnsi="Arial" w:eastAsia="Arial" w:cs="Arial"/>
          <w:b w:val="0"/>
          <w:bCs w:val="0"/>
          <w:i w:val="0"/>
          <w:iCs w:val="0"/>
          <w:strike w:val="0"/>
          <w:dstrike w:val="0"/>
          <w:noProof w:val="0"/>
          <w:color w:val="444444"/>
          <w:sz w:val="22"/>
          <w:szCs w:val="22"/>
          <w:u w:val="none"/>
          <w:lang w:val="en-US"/>
        </w:rPr>
        <w:t xml:space="preserve">[3] Trisotech, “BPMN introduction and history,” Aug. 11, 2015. [Online]. Available: https://www.trisotech.com/bpmn-introduction-and-history/</w:t>
      </w:r>
    </w:p>
    <w:p w:rsidP="79B0529B">
      <w:pPr>
        <w:bidi w:val="0"/>
        <w:spacing w:before="0" w:beforeAutospacing="off" w:after="160" w:afterAutospacing="off"/>
      </w:pPr>
      <w:r>
        <w:rPr>
          <w:rFonts w:ascii="Arial" w:hAnsi="Arial" w:eastAsia="Arial" w:cs="Arial"/>
          <w:b w:val="0"/>
          <w:bCs w:val="0"/>
          <w:i w:val="0"/>
          <w:iCs w:val="0"/>
          <w:strike w:val="0"/>
          <w:dstrike w:val="0"/>
          <w:noProof w:val="0"/>
          <w:color w:val="444444"/>
          <w:sz w:val="22"/>
          <w:szCs w:val="22"/>
          <w:u w:val="none"/>
          <w:lang w:val="en-US"/>
        </w:rPr>
        <w:t xml:space="preserve">[4] C. Stryker and I. Belcic, “What is Business Process Modeling and Notation (BPMN)?,” IBM Think, 2024. [Online]. Available: https://www.ibm.com/think/topics/bpmn</w:t>
      </w:r>
    </w:p>
    <w:p w:rsidP="79B0529B">
      <w:pPr>
        <w:bidi w:val="0"/>
        <w:spacing w:before="0" w:beforeAutospacing="off" w:after="160" w:afterAutospacing="off"/>
      </w:pPr>
      <w:r>
        <w:rPr>
          <w:rFonts w:ascii="Arial" w:hAnsi="Arial" w:eastAsia="Arial" w:cs="Arial"/>
          <w:b w:val="0"/>
          <w:bCs w:val="0"/>
          <w:i w:val="0"/>
          <w:iCs w:val="0"/>
          <w:strike w:val="0"/>
          <w:dstrike w:val="0"/>
          <w:noProof w:val="0"/>
          <w:color w:val="444444"/>
          <w:sz w:val="22"/>
          <w:szCs w:val="22"/>
          <w:u w:val="none"/>
          <w:lang w:val="en-US"/>
        </w:rPr>
        <w:t xml:space="preserve">[5] Camunda Cloud Team, “BPMN and microservices orchestration, Part 1 of 2: Flow languages, engines, and timeless patterns,” Camunda Blog, Aug. 1, 2018. [Online]. Available: https://camunda.com/blog/2018/08/bpmn-for-microservices-orchestration-a-primer-part-1/</w:t>
      </w:r>
    </w:p>
    <w:p w:rsidP="79B0529B">
      <w:pPr>
        <w:bidi w:val="0"/>
        <w:spacing w:before="0" w:beforeAutospacing="off" w:after="160" w:afterAutospacing="off"/>
      </w:pPr>
      <w:r>
        <w:rPr>
          <w:rFonts w:ascii="Arial" w:hAnsi="Arial" w:eastAsia="Arial" w:cs="Arial"/>
          <w:b w:val="0"/>
          <w:bCs w:val="0"/>
          <w:i w:val="0"/>
          <w:iCs w:val="0"/>
          <w:strike w:val="0"/>
          <w:dstrike w:val="0"/>
          <w:noProof w:val="0"/>
          <w:color w:val="444444"/>
          <w:sz w:val="22"/>
          <w:szCs w:val="22"/>
          <w:u w:val="none"/>
          <w:lang w:val="en-US"/>
        </w:rPr>
        <w:t xml:space="preserve">[6] Django Viewflow, “5 lessons that software developers can learn from Business Process Model and Notation (BPMN),” Medium, Mar. 1, 2021. [Online]. Available: https://viewflow.medium.com/5-lessons-that-software-developers-can-learn-from-business-process-model-and-notation-bpmn-ed7500fc3022</w:t>
      </w:r>
    </w:p>
    <w:p w:rsidP="79B0529B">
      <w:pPr>
        <w:bidi w:val="0"/>
        <w:spacing w:before="0" w:beforeAutospacing="off" w:after="160" w:afterAutospacing="off"/>
      </w:pPr>
      <w:r>
        <w:rPr>
          <w:rFonts w:ascii="Arial" w:hAnsi="Arial" w:eastAsia="Arial" w:cs="Arial"/>
          <w:b w:val="0"/>
          <w:bCs w:val="0"/>
          <w:i w:val="0"/>
          <w:iCs w:val="0"/>
          <w:strike w:val="0"/>
          <w:dstrike w:val="0"/>
          <w:noProof w:val="0"/>
          <w:color w:val="444444"/>
          <w:sz w:val="22"/>
          <w:szCs w:val="22"/>
          <w:u w:val="none"/>
          <w:lang w:val="en-US"/>
        </w:rPr>
        <w:t xml:space="preserve">[7] C. Green, “Alternatives to Business Process Modelling Notation (BPMN),” Netcall Blog, Jan. 23, 2024. [Online]. Available: https://www.netcall.com/blog/alternatives-to-business-process-modelling-notation-bpmn/</w:t>
      </w:r>
    </w:p>
    <w:p w:rsidP="79B0529B">
      <w:pPr>
        <w:bidi w:val="0"/>
        <w:spacing w:before="0" w:beforeAutospacing="off" w:after="160" w:afterAutospacing="off"/>
      </w:pPr>
      <w:r>
        <w:rPr>
          <w:rFonts w:ascii="Arial" w:hAnsi="Arial" w:eastAsia="Arial" w:cs="Arial"/>
          <w:b w:val="0"/>
          <w:bCs w:val="0"/>
          <w:i w:val="0"/>
          <w:iCs w:val="0"/>
          <w:strike w:val="0"/>
          <w:dstrike w:val="0"/>
          <w:noProof w:val="0"/>
          <w:color w:val="444444"/>
          <w:sz w:val="22"/>
          <w:szCs w:val="22"/>
          <w:u w:val="none"/>
          <w:lang w:val="en-US"/>
        </w:rPr>
        <w:t xml:space="preserve">[8] H. Magalhães, “What are the advantages and disadvantages of choosing BPMN instead of a traditional flowchart?,” Helppier, Dec. 7, 2023. [Online]. Available: https://www.helppier.com/en/advantages-and-disadvantages-bpmn-traditional-flowchart/</w:t>
      </w:r>
    </w:p>
    <w:p w:rsidP="79B0529B">
      <w:pPr>
        <w:bidi w:val="0"/>
        <w:spacing w:before="0" w:beforeAutospacing="off" w:after="160" w:afterAutospacing="off"/>
      </w:pPr>
      <w:r>
        <w:rPr>
          <w:rFonts w:ascii="Arial" w:hAnsi="Arial" w:eastAsia="Arial" w:cs="Arial"/>
          <w:b w:val="0"/>
          <w:bCs w:val="0"/>
          <w:i w:val="0"/>
          <w:iCs w:val="0"/>
          <w:strike w:val="0"/>
          <w:dstrike w:val="0"/>
          <w:noProof w:val="0"/>
          <w:color w:val="444444"/>
          <w:sz w:val="22"/>
          <w:szCs w:val="22"/>
          <w:u w:val="none"/>
          <w:lang w:val="en-US"/>
        </w:rPr>
        <w:t xml:space="preserve">[9] Visual Paradigm Guides, “A comparative analysis of activity diagrams and BPMN in UML.” [Online]. Available: https://guides.visual-paradigm.com/a-comparative-analysis-of-activity-diagrams-and-bpmn-in-uml/</w:t>
      </w:r>
    </w:p>
    <w:p w:rsidP="79B0529B">
      <w:pPr>
        <w:bidi w:val="0"/>
        <w:spacing w:before="0" w:beforeAutospacing="off" w:after="160" w:afterAutospacing="off"/>
      </w:pPr>
      <w:r>
        <w:rPr>
          <w:rFonts w:ascii="Arial" w:hAnsi="Arial" w:eastAsia="Arial" w:cs="Arial"/>
          <w:b w:val="0"/>
          <w:bCs w:val="0"/>
          <w:i w:val="0"/>
          <w:iCs w:val="0"/>
          <w:strike w:val="0"/>
          <w:dstrike w:val="0"/>
          <w:noProof w:val="0"/>
          <w:color w:val="444444"/>
          <w:sz w:val="22"/>
          <w:szCs w:val="22"/>
          <w:u w:val="none"/>
          <w:lang w:val="en-US"/>
        </w:rPr>
        <w:t xml:space="preserve">[10] A.-W. Scheer, O. Thomas and O. Adam, “Process modeling using event-driven process chains,” in Process-Aware Information Systems, M. Dumas, W. M. P. van der Aalst and A. H. M. ter Hofstede, Eds. Hoboken, NJ, USA: Wiley, 2005. doi: 10.1002/0471741442.ch6</w:t>
      </w:r>
    </w:p>
    <w:p w:rsidP="79B0529B">
      <w:pPr>
        <w:bidi w:val="0"/>
        <w:spacing w:before="0" w:beforeAutospacing="off" w:after="160" w:afterAutospacing="off"/>
      </w:pPr>
      <w:r>
        <w:rPr>
          <w:rFonts w:ascii="Arial" w:hAnsi="Arial" w:eastAsia="Arial" w:cs="Arial"/>
          <w:b w:val="0"/>
          <w:bCs w:val="0"/>
          <w:i w:val="0"/>
          <w:iCs w:val="0"/>
          <w:strike w:val="0"/>
          <w:dstrike w:val="0"/>
          <w:noProof w:val="0"/>
          <w:color w:val="444444"/>
          <w:sz w:val="22"/>
          <w:szCs w:val="22"/>
          <w:u w:val="none"/>
          <w:lang w:val="en-US"/>
        </w:rPr>
        <w:t xml:space="preserve">[11] W. M. P. van der Aalst, “The application of Petri nets to workflow management,” Journal of Circuits, Systems and Computers, vol. 8, no. 1, pp. 21–66, 1998.</w:t>
      </w:r>
    </w:p>
    <w:p w:rsidP="79B0529B">
      <w:pPr>
        <w:bidi w:val="0"/>
        <w:spacing w:before="0" w:beforeAutospacing="off" w:after="160" w:afterAutospacing="off"/>
      </w:pPr>
      <w:r>
        <w:rPr>
          <w:rFonts w:ascii="Arial" w:hAnsi="Arial" w:eastAsia="Arial" w:cs="Arial"/>
          <w:b w:val="0"/>
          <w:bCs w:val="0"/>
          <w:i w:val="0"/>
          <w:iCs w:val="0"/>
          <w:strike w:val="0"/>
          <w:dstrike w:val="0"/>
          <w:noProof w:val="0"/>
          <w:color w:val="444444"/>
          <w:sz w:val="22"/>
          <w:szCs w:val="22"/>
          <w:u w:val="none"/>
          <w:lang w:val="en-US"/>
        </w:rPr>
        <w:t xml:space="preserve">[12] Y. Kologryvov, “What’s wrong with BPMN?,” Medium. [Online]. Available: https://medium.com/@yaroslavkologryvov/whats-wrong-with-bpmn-0f948c5c9391</w:t>
      </w:r>
    </w:p>
    <w:p w:rsidP="79B0529B">
      <w:pPr>
        <w:bidi w:val="0"/>
        <w:spacing w:before="0" w:beforeAutospacing="off" w:after="160" w:afterAutospacing="off"/>
      </w:pPr>
      <w:r>
        <w:rPr>
          <w:rFonts w:ascii="Arial" w:hAnsi="Arial" w:eastAsia="Arial" w:cs="Arial"/>
          <w:b w:val="0"/>
          <w:bCs w:val="0"/>
          <w:i w:val="0"/>
          <w:iCs w:val="0"/>
          <w:strike w:val="0"/>
          <w:dstrike w:val="0"/>
          <w:noProof w:val="0"/>
          <w:color w:val="444444"/>
          <w:sz w:val="22"/>
          <w:szCs w:val="22"/>
          <w:u w:val="none"/>
          <w:lang w:val="en-US"/>
        </w:rPr>
        <w:t xml:space="preserve">[13] Camunda, “How Zalando orchestrates its sales order process with Camunda,” Camunda Blog, Jul. 2021. [Online]. Available: https://camunda.com/blog/2021/07/how-zalando-orchestrates-its-sales-order-process-with-camunda/</w:t>
      </w:r>
    </w:p>
    <w:p w:rsidP="79B0529B">
      <w:pPr>
        <w:bidi w:val="0"/>
        <w:spacing w:before="0" w:beforeAutospacing="off" w:after="160" w:afterAutospacing="off"/>
      </w:pPr>
      <w:r>
        <w:rPr>
          <w:rFonts w:ascii="Arial" w:hAnsi="Arial" w:eastAsia="Arial" w:cs="Arial"/>
          <w:b w:val="0"/>
          <w:bCs w:val="0"/>
          <w:i w:val="0"/>
          <w:iCs w:val="0"/>
          <w:strike w:val="0"/>
          <w:dstrike w:val="0"/>
          <w:noProof w:val="0"/>
          <w:color w:val="444444"/>
          <w:sz w:val="22"/>
          <w:szCs w:val="22"/>
          <w:u w:val="none"/>
          <w:lang w:val="en-US"/>
        </w:rPr>
        <w:t xml:space="preserve">[14] Camunda, “Deutsche Telekom moves to microservices,” Camunda case study. [Online]. Available: https://camunda.com/case-study/deutsche-telekom/</w:t>
      </w:r>
    </w:p>
    <w:p w:rsidP="79B0529B">
      <w:pPr>
        <w:bidi w:val="0"/>
        <w:spacing w:before="0" w:beforeAutospacing="off" w:after="160" w:afterAutospacing="off"/>
      </w:pPr>
      <w:r>
        <w:rPr>
          <w:rFonts w:ascii="Arial" w:hAnsi="Arial" w:eastAsia="Arial" w:cs="Arial"/>
          <w:b w:val="0"/>
          <w:bCs w:val="0"/>
          <w:i w:val="0"/>
          <w:iCs w:val="0"/>
          <w:strike w:val="0"/>
          <w:dstrike w:val="0"/>
          <w:noProof w:val="0"/>
          <w:color w:val="444444"/>
          <w:sz w:val="22"/>
          <w:szCs w:val="22"/>
          <w:u w:val="none"/>
          <w:lang w:val="en-US"/>
        </w:rPr>
        <w:t xml:space="preserve">[15] Camunda, “Jyske Bank increased customer satisfaction using Camunda,” Camunda case study. [Online]. Available: https://camunda.com/case-study/jyske-bank/</w:t>
      </w:r>
    </w:p>
    <w:p xmlns:wp14="http://schemas.microsoft.com/office/word/2010/wordml" wp14:paraId="1D1AA494" wp14:textId="1CA2C968"/>
    <w:p xmlns:wp14="http://schemas.microsoft.com/office/word/2010/wordml" wp14:paraId="2C078E63" wp14:textId="57B536E2"/>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28AFA1C"/>
    <w:rsid w:val="067271DC"/>
    <w:rsid w:val="0AF583A2"/>
    <w:rsid w:val="117D1FDB"/>
    <w:rsid w:val="2D1C24AA"/>
    <w:rsid w:val="2D1C24AA"/>
    <w:rsid w:val="328AFA1C"/>
    <w:rsid w:val="50A678CD"/>
    <w:rsid w:val="664B056B"/>
    <w:rsid w:val="79B052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5B0FA"/>
  <w15:chartTrackingRefBased/>
  <w15:docId w15:val="{ACA250F5-F11F-4B28-BE23-42BF236EF01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79B0529B"/>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Title">
    <w:uiPriority w:val="10"/>
    <w:name w:val="Title"/>
    <w:basedOn w:val="Normal"/>
    <w:next w:val="Normal"/>
    <w:qFormat/>
    <w:rsid w:val="79B0529B"/>
    <w:rPr>
      <w:rFonts w:ascii="Aptos Display" w:hAnsi="Aptos Display" w:eastAsia="" w:cs="" w:asciiTheme="majorAscii" w:hAnsiTheme="majorAscii" w:eastAsiaTheme="majorEastAsia" w:cstheme="majorBidi"/>
      <w:sz w:val="56"/>
      <w:szCs w:val="56"/>
    </w:rPr>
    <w:pPr>
      <w:spacing w:after="80" w:line="240" w:lineRule="auto"/>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4A5B5A29CDCCF45A161DA48B2CC5BC4" ma:contentTypeVersion="3" ma:contentTypeDescription="Een nieuw document maken." ma:contentTypeScope="" ma:versionID="29b8a2ab029342e13c94d765ce6b2b0f">
  <xsd:schema xmlns:xsd="http://www.w3.org/2001/XMLSchema" xmlns:xs="http://www.w3.org/2001/XMLSchema" xmlns:p="http://schemas.microsoft.com/office/2006/metadata/properties" xmlns:ns2="2a7037f2-c827-41b9-8ea2-0e28e5e00daf" targetNamespace="http://schemas.microsoft.com/office/2006/metadata/properties" ma:root="true" ma:fieldsID="81d58ef48979b919a792e553e55b2c79" ns2:_="">
    <xsd:import namespace="2a7037f2-c827-41b9-8ea2-0e28e5e00da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7037f2-c827-41b9-8ea2-0e28e5e00d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95E951E-DB3A-4B6D-A3F8-B772AB480DC6}"/>
</file>

<file path=customXml/itemProps2.xml><?xml version="1.0" encoding="utf-8"?>
<ds:datastoreItem xmlns:ds="http://schemas.openxmlformats.org/officeDocument/2006/customXml" ds:itemID="{E316AE0A-8C82-4941-9E18-6174C865C052}"/>
</file>

<file path=customXml/itemProps3.xml><?xml version="1.0" encoding="utf-8"?>
<ds:datastoreItem xmlns:ds="http://schemas.openxmlformats.org/officeDocument/2006/customXml" ds:itemID="{10B1B1F0-41D9-4936-A390-6B189DCDD46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Collard,romain R.V.P.</dc:creator>
  <keywords/>
  <dc:description/>
  <dcterms:created xsi:type="dcterms:W3CDTF">2026-09-11T09:59:48.0000000Z</dcterms:created>
  <dcterms:modified xsi:type="dcterms:W3CDTF">2026-09-11T10:03:10.2953686Z</dcterms:modified>
  <lastModifiedBy>Collard,romain R.V.P.</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0x01010074A5B5A29CDCCF45A161DA48B2CC5BC4</vt:lpwstr>
  </property>
</Properties>
</file>