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艺数智策使用说明</w:t>
      </w:r>
    </w:p>
    <w:p>
      <w:pPr>
        <w:pStyle w:val="Subtitle"/>
      </w:pPr>
      <w:r>
        <w:t>艺术团队内容运营复盘与排期 Web 应用</w:t>
      </w:r>
    </w:p>
    <w:p>
      <w:r>
        <w:t>本手册说明如何启动网站、管理团队数据、分析内容表现，并把建议转成排期和复盘记录。系统使用团队主动录入的数据；未配置模型时也能通过本地规则完成分析。首次体验已附 3 条模拟内容，可直接走完整流程。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1"/>
          </w:tcPr>
          <w:p>
            <w:pPr>
              <w:spacing w:after="40"/>
            </w:pPr>
            <w:r/>
            <w:r>
              <w:rPr>
                <w:b/>
                <w:color w:val="167C78"/>
              </w:rPr>
              <w:t xml:space="preserve">快速开始  </w:t>
            </w:r>
            <w:r>
              <w:t>准备 Python 3.11+，复制 .env.example 为 .env 并设置 APP_SECRET，然后运行 ./start.sh；浏览器访问 http://127.0.0.1:8000，创建团队负责人账号。也可使用 Docker Compose 启动。</w:t>
            </w:r>
          </w:p>
        </w:tc>
      </w:tr>
    </w:tbl>
    <w:p>
      <w:pPr>
        <w:spacing w:after="20"/>
      </w:pPr>
    </w:p>
    <w:p>
      <w:pPr>
        <w:pStyle w:val="Heading1"/>
      </w:pPr>
      <w:r>
        <w:t>1  启动与首次设置</w:t>
      </w:r>
    </w:p>
    <w:p>
      <w:pPr>
        <w:pStyle w:val="Heading2"/>
      </w:pPr>
      <w:r>
        <w:t>本地运行</w:t>
      </w:r>
    </w:p>
    <w:p>
      <w:pPr>
        <w:spacing w:after="40"/>
        <w:ind w:left="346" w:hanging="346"/>
      </w:pPr>
      <w:r>
        <w:rPr>
          <w:b/>
        </w:rPr>
        <w:t xml:space="preserve">1.  </w:t>
      </w:r>
      <w:r>
        <w:t>在项目目录复制配置模板：cp .env.example .env。把 APP_SECRET 改为随机长字符串。启用远程 AI 时再填写 AI_BASE_URL、AI_API_KEY 和 AI_MODEL。</w:t>
      </w:r>
    </w:p>
    <w:p>
      <w:pPr>
        <w:spacing w:after="40"/>
        <w:ind w:left="346" w:hanging="346"/>
      </w:pPr>
      <w:r>
        <w:rPr>
          <w:b/>
        </w:rPr>
        <w:t xml:space="preserve">2.  </w:t>
      </w:r>
      <w:r>
        <w:t>Linux / macOS 执行 ./start.sh；Windows 首次运行前复制配置文件，再双击 start.bat。启动脚本会建立虚拟环境、安装 Python 依赖、执行数据库迁移并启动网站。</w:t>
      </w:r>
    </w:p>
    <w:p>
      <w:pPr>
        <w:spacing w:after="40"/>
        <w:ind w:left="346" w:hanging="346"/>
      </w:pPr>
      <w:r>
        <w:rPr>
          <w:b/>
        </w:rPr>
        <w:t xml:space="preserve">3.  </w:t>
      </w:r>
      <w:r>
        <w:t>打开 http://127.0.0.1:8000。首次访问会显示团队注册表单，输入团队名称、负责人姓名、邮箱和至少 10 位密码。</w:t>
      </w:r>
    </w:p>
    <w:p>
      <w:pPr>
        <w:pStyle w:val="Heading2"/>
      </w:pPr>
      <w:r>
        <w:t>Docker 运行</w:t>
      </w:r>
    </w:p>
    <w:p>
      <w:r>
        <w:t>复制并编辑 .env 后，在项目目录运行 docker compose up --build。服务默认监听 8000 端口，数据库文件位于 data/arts_smart.db。容器重建会保留该目录中的数据库。</w:t>
      </w:r>
    </w:p>
    <w:p>
      <w:pPr>
        <w:pStyle w:val="Heading2"/>
      </w:pPr>
      <w:r>
        <w:t>账号角色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28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064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172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负责人</w:t>
            </w:r>
          </w:p>
        </w:tc>
        <w:tc>
          <w:tcPr>
            <w:tcW w:type="dxa" w:w="806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管理团队成员、录入和编辑内容、查看分析、调整设置、排期及导出。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录入者</w:t>
            </w:r>
          </w:p>
        </w:tc>
        <w:tc>
          <w:tcPr>
            <w:tcW w:type="dxa" w:w="806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维护团队内容记录并使用分析和排期功能。</w:t>
            </w:r>
          </w:p>
        </w:tc>
      </w:tr>
      <w:tr>
        <w:tc>
          <w:tcPr>
            <w:tcW w:type="dxa" w:w="172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查看者</w:t>
            </w:r>
          </w:p>
        </w:tc>
        <w:tc>
          <w:tcPr>
            <w:tcW w:type="dxa" w:w="806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查看数据和分析；服务端会拒绝写入操作。</w:t>
            </w:r>
          </w:p>
        </w:tc>
      </w:tr>
    </w:tbl>
    <w:p>
      <w:pPr>
        <w:spacing w:after="20"/>
      </w:pPr>
    </w:p>
    <w:p>
      <w:r>
        <w:t>负责人可在“模型接口设置 / 团队成员”邀请成员。团队数据按团队隔离；登录凭据经 PBKDF2 哈希保存，会话有效期为 14 天。</w:t>
      </w:r>
    </w:p>
    <w:p>
      <w:pPr>
        <w:pStyle w:val="Heading1"/>
        <w:pageBreakBefore/>
      </w:pPr>
      <w:r>
        <w:t>2  页面与日常工作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7848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4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运营总览</w:t>
            </w:r>
          </w:p>
        </w:tc>
        <w:tc>
          <w:tcPr>
            <w:tcW w:type="dxa" w:w="784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查看内容总量、发布情况、互动与播放指标、趋势、数据完整度、采纳收益和节奏提醒。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内容记录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录入、筛选、编辑和删除内容；导入 CSV；管理标签、素材说明、负责人和生命周期。</w:t>
            </w:r>
          </w:p>
        </w:tc>
      </w:tr>
      <w:tr>
        <w:tc>
          <w:tcPr>
            <w:tcW w:type="dxa" w:w="194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效果分析</w:t>
            </w:r>
          </w:p>
        </w:tc>
        <w:tc>
          <w:tcPr>
            <w:tcW w:type="dxa" w:w="784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比较内容类型、平台和时段；查看热力图、团队基准、转化漏斗及评论关键词提示。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排期建议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根据本团队记录生成建议，可用配置的大模型或离线规则。可将建议加入日历。</w:t>
            </w:r>
          </w:p>
        </w:tc>
      </w:tr>
      <w:tr>
        <w:tc>
          <w:tcPr>
            <w:tcW w:type="dxa" w:w="194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排期日历</w:t>
            </w:r>
          </w:p>
        </w:tc>
        <w:tc>
          <w:tcPr>
            <w:tcW w:type="dxa" w:w="784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周视图和列表视图；移动日期、标记发布、回填结果并记录预测偏差。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报告与交接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生成 PDF 复盘报告、脱敏 CSV 和 Markdown 换届交接包。</w:t>
            </w:r>
          </w:p>
        </w:tc>
      </w:tr>
      <w:tr>
        <w:tc>
          <w:tcPr>
            <w:tcW w:type="dxa" w:w="1944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模型接口设置</w:t>
            </w:r>
          </w:p>
        </w:tc>
        <w:tc>
          <w:tcPr>
            <w:tcW w:type="dxa" w:w="7848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管理模型配置、分析门槛与权重；负责人还可管理成员。</w:t>
            </w:r>
          </w:p>
        </w:tc>
      </w:tr>
    </w:tbl>
    <w:p>
      <w:pPr>
        <w:spacing w:after="20"/>
      </w:pPr>
    </w:p>
    <w:p>
      <w:pPr>
        <w:pStyle w:val="Heading2"/>
      </w:pPr>
      <w:r>
        <w:t>录入内容</w:t>
      </w:r>
    </w:p>
    <w:p>
      <w:r>
        <w:t>在内容记录页点击“录入内容”，填写标题、平台、内容类型、发布时间以及可获得的播放、互动、完播等指标。可以补充文案摘要、标签、素材说明、负责人和备注。生命周期支持草稿、待审核、已排期、已发布、已复盘和已归档。录入后可继续编辑；删除操作会移除该条团队记录。</w:t>
      </w:r>
    </w:p>
    <w:p>
      <w:pPr>
        <w:pStyle w:val="Heading2"/>
      </w:pPr>
      <w:r>
        <w:t>CSV 批量导入</w:t>
      </w:r>
    </w:p>
    <w:p>
      <w:r>
        <w:t>在内容记录页选择 CSV 文件并按页面提示映射列名。预览后提交导入。系统会按现有规则提示重复记录；建议先用少量数据试导入，并确认日期、平台和数值列格式。导出 CSV 会移除可识别的个人信息字段。</w:t>
      </w:r>
    </w:p>
    <w:p>
      <w:pPr>
        <w:pStyle w:val="Heading2"/>
      </w:pPr>
      <w:r>
        <w:t>截图 OCR</w:t>
      </w:r>
    </w:p>
    <w:p>
      <w:r>
        <w:t>上传平台数据截图后，系统生成 OCR 草稿。请检查并修正识别出的标题、平台和数字，再确认写入。OCR 使用本机 Tesseract 中文语言包；Docker 镜像已经安装。手动运行需要安装 Tesseract 及 chi_sim 中文包。截图版式、遮挡和低分辨率可能影响识别，务必人工核对。</w:t>
      </w:r>
    </w:p>
    <w:p>
      <w:pPr>
        <w:pStyle w:val="Heading1"/>
      </w:pPr>
      <w:r>
        <w:t>3  分析和建议</w:t>
      </w:r>
    </w:p>
    <w:p>
      <w:pPr>
        <w:pStyle w:val="Heading2"/>
      </w:pPr>
      <w:r>
        <w:t>小样本阅读</w:t>
      </w:r>
    </w:p>
    <w:p>
      <w:r>
        <w:t>默认最小样本门槛为 5 条，可在模型接口设置调整。低于门槛时，分类、平台和时段的均值显示样本不足，系统不会把这些分组总结成稳定规律。达到门槛但不足两倍时会提示样本较少。单条记录和团队总体数量仍可查看。不同平台的播放和互动定义可能不同，横向比较时请结合业务口径。</w:t>
      </w:r>
    </w:p>
    <w:p>
      <w:r>
        <w:t>综合表现分默认使用完播表现与互动表现权重。设置页允许调整门槛及分析权重；平台权重可以通过 JSON 配置。数据较少时优先查看原始记录，不要把短期波动当成稳定结论。</w:t>
      </w:r>
    </w:p>
    <w:p>
      <w:pPr>
        <w:pStyle w:val="Heading2"/>
      </w:pPr>
      <w:r>
        <w:t>生成排期建议</w:t>
      </w:r>
    </w:p>
    <w:p>
      <w:pPr>
        <w:spacing w:after="40"/>
        <w:ind w:left="346" w:hanging="346"/>
      </w:pPr>
      <w:r>
        <w:rPr>
          <w:b/>
        </w:rPr>
        <w:t xml:space="preserve">1.  </w:t>
      </w:r>
      <w:r>
        <w:t>进入排期建议页，选择需要分析的平台、时间范围或目标（如未显示筛选项则直接点击生成）。</w:t>
      </w:r>
    </w:p>
    <w:p>
      <w:pPr>
        <w:spacing w:after="40"/>
        <w:ind w:left="346" w:hanging="346"/>
      </w:pPr>
      <w:r>
        <w:rPr>
          <w:b/>
        </w:rPr>
        <w:t xml:space="preserve">2.  </w:t>
      </w:r>
      <w:r>
        <w:t>系统根据团队记录生成结构化建议，并显示建议来源、参考条数及信心等级。没有配置模型、模型不可用或响应无法解析时，会自动使用本地规则建议并说明降级原因。</w:t>
      </w:r>
    </w:p>
    <w:p>
      <w:pPr>
        <w:spacing w:after="40"/>
        <w:ind w:left="346" w:hanging="346"/>
      </w:pPr>
      <w:r>
        <w:rPr>
          <w:b/>
        </w:rPr>
        <w:t xml:space="preserve">3.  </w:t>
      </w:r>
      <w:r>
        <w:t>检查每条建议，结合活动安排和团队资源调整时间，再点击采纳写入日历。采纳后可在日历移动或编辑计划。</w:t>
      </w:r>
    </w:p>
    <w:p>
      <w:pPr>
        <w:pStyle w:val="Heading2"/>
      </w:pPr>
      <w:r>
        <w:t>配置远程模型</w:t>
      </w:r>
    </w:p>
    <w:p>
      <w:r>
        <w:t>负责人在模型接口设置中新增模型配置，填写服务商、基础地址或完整请求路径、模型名称和 API Key，并设置鉴权方式及温度。可保存多套配置、切换当前配置并运行连通测试。API Key 仅由后端保存和使用，不进入浏览器存储。远程调用会把为建议整理的内容摘要发送给所配置服务商，请按其数据政策选择使用范围。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1"/>
          </w:tcPr>
          <w:p>
            <w:pPr>
              <w:spacing w:after="40"/>
            </w:pPr>
            <w:r/>
            <w:r>
              <w:rPr>
                <w:b/>
                <w:color w:val="167C78"/>
              </w:rPr>
              <w:t xml:space="preserve">离线使用  </w:t>
            </w:r>
            <w:r>
              <w:t>不配置模型时，录入、CSV、规则分析、日历、PDF 和其他本地功能可继续使用。规则建议从本团队数据计算，不声称样本不足时存在可靠规律。</w:t>
            </w:r>
          </w:p>
        </w:tc>
      </w:tr>
    </w:tbl>
    <w:p>
      <w:pPr>
        <w:spacing w:after="20"/>
      </w:pPr>
    </w:p>
    <w:p>
      <w:pPr>
        <w:pStyle w:val="Heading1"/>
      </w:pPr>
      <w:r>
        <w:t>4  排期执行与复盘</w:t>
      </w:r>
    </w:p>
    <w:p>
      <w:r>
        <w:t>在日历中可将建议加入计划，也可手动新增或调整计划。周视图中的计划支持拖动到其他日期；也可以打开计划编辑具体信息。计划发布后，标记发布并回填实际数据，系统会更新对应内容记录并保留预测偏差反馈。总览的采纳收益和节奏提醒随数据更新。</w:t>
      </w:r>
    </w:p>
    <w:p>
      <w:r>
        <w:t>复盘报告由服务端从当前团队聚合数据生成 PDF，并附简单图形。交接包提供 Markdown 内容摘要；CSV 导出会尽可能移除邮箱、手机号等个人字段。导出文件仍应按团队的数据管理要求保存。</w:t>
      </w:r>
    </w:p>
    <w:p>
      <w:pPr>
        <w:pStyle w:val="Heading1"/>
      </w:pPr>
      <w:r>
        <w:t>5  示例数据与重置</w:t>
      </w:r>
    </w:p>
    <w:p>
      <w:r>
        <w:t>首次安装会载入 3 条模拟记录，覆盖不同平台和內容类型，用于演示录入后如何出现在总览、分析和规则建议中。它们是演示数据，不代表真实运营结果。新增真实记录后，可按团队实际情况删除示例。</w:t>
      </w:r>
    </w:p>
    <w:p>
      <w:r>
        <w:t>页面中的“重置体验数据”会清空当前团队的演示/业务数据，并结束当前登录会话；执行前请先导出需要保留的记录。SQLite 文件默认路径为 data/arts_smart.db，建议定期备份。</w:t>
      </w:r>
    </w:p>
    <w:p>
      <w:pPr>
        <w:pStyle w:val="Heading1"/>
        <w:pageBreakBefore/>
      </w:pPr>
      <w:r>
        <w:t>6 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7632"/>
            <w:shd w:fill="203344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检查方法</w:t>
            </w:r>
          </w:p>
        </w:tc>
      </w:tr>
      <w:tr>
        <w:tc>
          <w:tcPr>
            <w:tcW w:type="dxa" w:w="2160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页面无法打开</w:t>
            </w:r>
          </w:p>
        </w:tc>
        <w:tc>
          <w:tcPr>
            <w:tcW w:type="dxa" w:w="7632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确认终端中的服务仍在运行，并访问正确端口；Docker 用户运行 docker compose ps 查看服务状态。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启动时数据库报错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检查 DATABASE_URL 与目录权限；运行 .venv/bin/alembic current 查看迁移状态。</w:t>
            </w:r>
          </w:p>
        </w:tc>
      </w:tr>
      <w:tr>
        <w:tc>
          <w:tcPr>
            <w:tcW w:type="dxa" w:w="2160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模型连接失败</w:t>
            </w:r>
          </w:p>
        </w:tc>
        <w:tc>
          <w:tcPr>
            <w:tcW w:type="dxa" w:w="7632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检查基础 URL、模型名、API Key、鉴权方式和网络。系统会显示失败原因并切回规则建议。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OCR 不可用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安装 Tesseract 与中文 chi_sim 语言包，或使用包含 OCR 组件的 Docker 镜像。</w:t>
            </w:r>
          </w:p>
        </w:tc>
      </w:tr>
      <w:tr>
        <w:tc>
          <w:tcPr>
            <w:tcW w:type="dxa" w:w="2160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图表提示样本不足</w:t>
            </w:r>
          </w:p>
        </w:tc>
        <w:tc>
          <w:tcPr>
            <w:tcW w:type="dxa" w:w="7632"/>
            <w:shd w:fill="F3F6F6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增加符合条件的团队记录，或由负责人在设置中调整门槛；少量数据不适合推断稳定趋势。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恢复或迁移数据</w:t>
            </w:r>
          </w:p>
        </w:tc>
        <w:tc>
          <w:tcPr>
            <w:tcW w:type="dxa" w:w="7632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03344"/>
                <w:sz w:val="18"/>
              </w:rPr>
              <w:t>停止服务后备份 data/arts_smart.db；迁移数据库时先备份，再设置 DATABASE_URL 并运行 Alembic。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完整自测</w:t>
      </w:r>
    </w:p>
    <w:p>
      <w:r>
        <w:t>项目自带隔离式端到端自测，使用临时 SQLite 数据库和本地模拟模型，不会修改正式数据库，也不需要真实 API Key。安装依赖后执行：</w:t>
      </w:r>
    </w:p>
    <w:p>
      <w:pPr>
        <w:spacing w:after="60"/>
        <w:ind w:left="317"/>
      </w:pPr>
      <w:r>
        <w:rPr>
          <w:rFonts w:ascii="Consolas" w:hAnsi="Consolas"/>
          <w:color w:val="167C78"/>
          <w:sz w:val="18"/>
        </w:rPr>
        <w:t>Linux / macOS：.venv/bin/python scripts/selftest.py</w:t>
      </w:r>
    </w:p>
    <w:p>
      <w:pPr>
        <w:spacing w:after="60"/>
        <w:ind w:left="317"/>
      </w:pPr>
      <w:r>
        <w:rPr>
          <w:rFonts w:ascii="Consolas" w:hAnsi="Consolas"/>
          <w:color w:val="167C78"/>
          <w:sz w:val="18"/>
        </w:rPr>
        <w:t>Windows：.venv\Scripts\python scripts\selftest.py</w:t>
      </w:r>
    </w:p>
    <w:p>
      <w:r>
        <w:t>成功时会显示 27 end-to-end checks passed.。测试涵盖账号权限、团队隔离、CSV 导入、样本门槛、规则降级、模型代理、排期、回填、审计及导出。</w:t>
      </w:r>
    </w:p>
    <w:p>
      <w:pPr>
        <w:pStyle w:val="Heading1"/>
      </w:pPr>
      <w:r>
        <w:t>7  数据与使用边界</w:t>
      </w:r>
    </w:p>
    <w:p>
      <w:pPr>
        <w:pStyle w:val="ListBullet"/>
        <w:spacing w:after="40"/>
      </w:pPr>
      <w:r>
        <w:t>系统只分析团队主动录入的数据，不抓取平台内容，不获取观众画像，也不自动发布内容。</w:t>
      </w:r>
    </w:p>
    <w:p>
      <w:pPr>
        <w:pStyle w:val="ListBullet"/>
        <w:spacing w:after="40"/>
      </w:pPr>
      <w:r>
        <w:t>评论关键词和情感提示使用轻量本地词表，结果用于辅助阅读，不等同于完整语义分析。</w:t>
      </w:r>
    </w:p>
    <w:p>
      <w:pPr>
        <w:pStyle w:val="ListBullet"/>
        <w:spacing w:after="40"/>
      </w:pPr>
      <w:r>
        <w:t>OCR 是通用识别；特殊字体、遮挡和截图压缩可能造成错误，需在确认前人工校对。</w:t>
      </w:r>
    </w:p>
    <w:p>
      <w:pPr>
        <w:pStyle w:val="ListBullet"/>
        <w:spacing w:after="40"/>
      </w:pPr>
      <w:r>
        <w:t>首次安装依赖需要联网。部署到多人可访问的网络前，请使用 HTTPS 反向代理、强随机密钥、数据库备份和防火墙。</w:t>
      </w:r>
    </w:p>
    <w:p>
      <w:r>
        <w:t>服务默认地址为 http://localhost:8000；API 文档可通过 /docs 查看。项目根目录 README.md 含启动命令、环境变量和部署补充说明。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艺数智策 · 团队自有数据复盘工具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B73"/>
        <w:sz w:val="16"/>
      </w:rPr>
      <w:t>艺数智策  / 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color w:val="2033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2033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6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C978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2033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5E6B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艺数智策使用说明</dc:title>
  <dc:subject>艺数智策 Web 应用操作手册</dc:subject>
  <dc:creator>艺数智策项目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