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A4: Conceptual Data Model</w:t>
      </w:r>
      <w:r w:rsidDel="00000000" w:rsidR="00000000" w:rsidRPr="00000000">
        <w:rPr>
          <w:rtl w:val="0"/>
        </w:rPr>
        <w:br w:type="textWrapping"/>
        <w:t xml:space="preserve"> </w:t>
        <w:br w:type="textWrapping"/>
      </w: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1. Class diagram</w:t>
      </w:r>
      <w:r w:rsidDel="00000000" w:rsidR="00000000" w:rsidRPr="00000000">
        <w:rPr>
          <w:rtl w:val="0"/>
        </w:rPr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  <w:br w:type="textWrapping"/>
        <w:t xml:space="preserve">The diagram of Figure 1 presents the main organisational entities, the relationships between them, attributes and their domains, and the multiplicity of relationships for BidBay.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sz w:val="18"/>
          <w:szCs w:val="18"/>
          <w:rtl w:val="0"/>
        </w:rPr>
        <w:t xml:space="preserve">Figure 1: UML conceptual data model for BidBay.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-719137</wp:posOffset>
            </wp:positionH>
            <wp:positionV relativeFrom="paragraph">
              <wp:posOffset>342900</wp:posOffset>
            </wp:positionV>
            <wp:extent cx="7186613" cy="485924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859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Revision history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Changes made to the first submission: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city and country classes.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 some classes (Bid, QA, …).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some rules.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and change Message subclasses (Report, Email, …).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Shipping and Payment Options class as well its subclasses.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and change user subclasses (Administrator, Bidder, …).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the lines.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Image path and folder.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the body of most classes.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GROUP1764, 21/03/2018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br w:type="textWrapping"/>
        <w:t xml:space="preserve">Afonso Bernardino da Silva Pinto, up201503316@fe.up.pt</w:t>
      </w:r>
      <w:r w:rsidDel="00000000" w:rsidR="00000000" w:rsidRPr="00000000">
        <w:rPr>
          <w:rtl w:val="0"/>
        </w:rPr>
        <w:br w:type="textWrapping"/>
        <w:t xml:space="preserve">Cristiana Maria Monteiro Ribeiro, up201305188@fe.up.pt</w:t>
        <w:br w:type="textWrapping"/>
        <w:t xml:space="preserve">Rostyslav Khoptiy, up201506219@fe.up.pt</w:t>
        <w:br w:type="textWrapping"/>
        <w:t xml:space="preserve">Tomás Sousa Oliveira, up201504746@fe.up.pt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 B" w:id="0" w:date="2018-03-13T18:09:5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UML class diagram containing the classes, associations, multiplicity and roles.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For each class, the attributes, associations and constraints are included in the class diagram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Additional Business Rules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Business rules can be included in the UML diagram as UML notes or in a table in this section.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