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88E78" w14:textId="77777777" w:rsidR="00C77C37" w:rsidRDefault="00000000">
      <w:pPr>
        <w:spacing w:after="40"/>
      </w:pPr>
      <w:r>
        <w:rPr>
          <w:rFonts w:ascii="Calibri" w:eastAsia="Calibri" w:hAnsi="Calibri" w:cs="Calibri"/>
          <w:b/>
          <w:bCs/>
          <w:color w:val="1B3A5C"/>
          <w:sz w:val="40"/>
          <w:szCs w:val="40"/>
        </w:rPr>
        <w:t>Core MVP User Flow Definition</w:t>
      </w:r>
    </w:p>
    <w:p w14:paraId="313E6F2E" w14:textId="77777777" w:rsidR="00C77C37" w:rsidRDefault="00000000">
      <w:pPr>
        <w:spacing w:after="240"/>
      </w:pPr>
      <w:r>
        <w:rPr>
          <w:rFonts w:ascii="Calibri" w:eastAsia="Calibri" w:hAnsi="Calibri" w:cs="Calibri"/>
          <w:color w:val="4D7AA3"/>
          <w:sz w:val="26"/>
          <w:szCs w:val="26"/>
        </w:rPr>
        <w:t>Evidence of work</w:t>
      </w:r>
    </w:p>
    <w:p w14:paraId="433C0C88" w14:textId="77777777" w:rsidR="00C77C37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Team: </w:t>
      </w:r>
      <w:r>
        <w:rPr>
          <w:rFonts w:ascii="Calibri" w:eastAsia="Calibri" w:hAnsi="Calibri" w:cs="Calibri"/>
        </w:rPr>
        <w:t>Team 40 / Team B — Intern Management System</w:t>
      </w:r>
    </w:p>
    <w:p w14:paraId="71B9888E" w14:textId="77777777" w:rsidR="00C77C37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Task: </w:t>
      </w:r>
      <w:r>
        <w:rPr>
          <w:rFonts w:ascii="Calibri" w:eastAsia="Calibri" w:hAnsi="Calibri" w:cs="Calibri"/>
        </w:rPr>
        <w:t>[UX DESIGN] — Core MVP User Flow Definition</w:t>
      </w:r>
    </w:p>
    <w:p w14:paraId="75B8B6E7" w14:textId="77777777" w:rsidR="00C77C37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UX Designer: </w:t>
      </w:r>
      <w:r>
        <w:rPr>
          <w:rFonts w:ascii="Calibri" w:eastAsia="Calibri" w:hAnsi="Calibri" w:cs="Calibri"/>
        </w:rPr>
        <w:t>Faridullah Jabbar Khil</w:t>
      </w:r>
    </w:p>
    <w:p w14:paraId="4A4DBDEB" w14:textId="77777777" w:rsidR="00C77C37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Sprint: </w:t>
      </w:r>
      <w:r>
        <w:rPr>
          <w:rFonts w:ascii="Calibri" w:eastAsia="Calibri" w:hAnsi="Calibri" w:cs="Calibri"/>
        </w:rPr>
        <w:t>Sprint 1 — Design &amp; Bootstrap</w:t>
      </w:r>
    </w:p>
    <w:p w14:paraId="237BBFE8" w14:textId="77777777" w:rsidR="00C77C37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1. Scope</w:t>
      </w:r>
    </w:p>
    <w:p w14:paraId="5D7DF175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This document records the role-specific user flows for the four required checklist items, plus how they connect into one end-to-end Core MVP workflow. The wireframe screens shown in Section 3 are the visual evidence for each step below.</w:t>
      </w:r>
    </w:p>
    <w:p w14:paraId="43A50EF6" w14:textId="77777777" w:rsidR="00C77C37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 Flows</w:t>
      </w:r>
    </w:p>
    <w:p w14:paraId="2E3BDE11" w14:textId="77777777" w:rsidR="00C77C37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2.1 Mentor assigns task — FR-02 / AC-01</w:t>
      </w:r>
    </w:p>
    <w:p w14:paraId="49C2FED4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Mentor opens Assign Task</w:t>
      </w:r>
    </w:p>
    <w:p w14:paraId="58B6DDE3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Role check — not Mentor? Deny, show restricted-action message (EC-03 / AC-01.3)</w:t>
      </w:r>
    </w:p>
    <w:p w14:paraId="7A6B2341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Mentor selects an intern from the existing Mentor–Intern relationship and enters task details</w:t>
      </w:r>
    </w:p>
    <w:p w14:paraId="7B3473FD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Submit → task saved and linked to the intern (AC-01.1) → confirmation shown</w:t>
      </w:r>
    </w:p>
    <w:p w14:paraId="2652A906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Evidence: Assign task screen (Figure 1).</w:t>
      </w:r>
    </w:p>
    <w:p w14:paraId="4C2B0540" w14:textId="77777777" w:rsidR="00C77C37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2.2 Intern views task — FR-04 / AC-02</w:t>
      </w:r>
    </w:p>
    <w:p w14:paraId="29753953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Intern opens My Tasks</w:t>
      </w:r>
    </w:p>
    <w:p w14:paraId="1124ED29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Role check — not Intern? Deny (AC-02.3)</w:t>
      </w:r>
    </w:p>
    <w:p w14:paraId="50AB06B9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Does the intern have an assigned task? No → no-assignment state (EC-01 / AC-02.2). Yes → task and status displayed (AC-02.1)</w:t>
      </w:r>
    </w:p>
    <w:p w14:paraId="4C2DD653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Evidence: My tasks, and My tasks — no task assigned (Figure 1).</w:t>
      </w:r>
    </w:p>
    <w:p w14:paraId="1584164E" w14:textId="77777777" w:rsidR="00C77C37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2.3 Intern submits weekly progress — FR-05 / FR-06 / AC-03</w:t>
      </w:r>
    </w:p>
    <w:p w14:paraId="0758743F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Intern opens Submit Progress on their assigned task</w:t>
      </w:r>
    </w:p>
    <w:p w14:paraId="67705A6B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Intern completes Accomplishments, Blockers (optional), Next steps</w:t>
      </w:r>
    </w:p>
    <w:p w14:paraId="5C49AA4A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Submit → required fields complete? No → validation error, nothing saved (EC-04 / AC-03.3). Yes → progress saved and linked to intern + task (AC-03.1) → confirmation shown</w:t>
      </w:r>
    </w:p>
    <w:p w14:paraId="1116B68C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Evidence: Submit weekly progress screen (Figure 1).</w:t>
      </w:r>
    </w:p>
    <w:p w14:paraId="2F65CE49" w14:textId="77777777" w:rsidR="00C77C37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2.4 Mentor reviews progress — FR-07 / AC-04</w:t>
      </w:r>
    </w:p>
    <w:p w14:paraId="6FA78D8D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Mentor opens Review Progress, selects an intern</w:t>
      </w:r>
    </w:p>
    <w:p w14:paraId="09EE3B8F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lastRenderedPageBreak/>
        <w:t>Role check — not Mentor? Deny (AC-04.3)</w:t>
      </w:r>
    </w:p>
    <w:p w14:paraId="136F8EA1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Has that intern submitted progress? No → no-submission state (EC-02 / AC-04.2). Yes → progress displayed, read-only (AC-04.1)</w:t>
      </w:r>
    </w:p>
    <w:p w14:paraId="39BF7A60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Evidence: Review progress, and Review progress — no submission (Figure 1).</w:t>
      </w:r>
    </w:p>
    <w:p w14:paraId="01C67E16" w14:textId="77777777" w:rsidR="00C77C37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3. Connected end-to-end workflow</w:t>
      </w:r>
    </w:p>
    <w:p w14:paraId="36DFB0DD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The four flows chain in sequence — Mentor assigns task → Intern views task → Intern submits progress → Mentor reviews progress — matching the Core MVP workflow defined in the BA document (Section 3). The wireframe set uses a shared numbered step-rail across all screens so each one's position in the sequence is visible on the screen itself, not only in this document.</w:t>
      </w:r>
    </w:p>
    <w:p w14:paraId="3E90E1D5" w14:textId="4A82CE82" w:rsidR="00C77C37" w:rsidRDefault="005042BA">
      <w:pPr>
        <w:spacing w:before="200" w:after="80"/>
        <w:jc w:val="center"/>
      </w:pPr>
      <w:r w:rsidRPr="005042BA">
        <w:drawing>
          <wp:inline distT="0" distB="0" distL="0" distR="0" wp14:anchorId="17393243" wp14:editId="15D066D7">
            <wp:extent cx="5943600" cy="3994785"/>
            <wp:effectExtent l="0" t="0" r="0" b="5715"/>
            <wp:docPr id="1068031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319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52EE" w14:textId="019EE831" w:rsidR="001355B3" w:rsidRDefault="005042BA" w:rsidP="001355B3">
      <w:pPr>
        <w:spacing w:before="200" w:after="80"/>
        <w:jc w:val="center"/>
      </w:pPr>
      <w:r w:rsidRPr="005042BA">
        <w:lastRenderedPageBreak/>
        <w:drawing>
          <wp:inline distT="0" distB="0" distL="0" distR="0" wp14:anchorId="483E60EA" wp14:editId="16CB919B">
            <wp:extent cx="5943600" cy="2562860"/>
            <wp:effectExtent l="0" t="0" r="0" b="8890"/>
            <wp:docPr id="148696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602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33A0" w14:textId="36EAB1CC" w:rsidR="005042BA" w:rsidRDefault="005042BA" w:rsidP="001355B3">
      <w:pPr>
        <w:spacing w:before="200" w:after="80"/>
        <w:jc w:val="center"/>
      </w:pPr>
      <w:r w:rsidRPr="005042BA">
        <w:drawing>
          <wp:inline distT="0" distB="0" distL="0" distR="0" wp14:anchorId="64B3ABFC" wp14:editId="0E9F6B29">
            <wp:extent cx="5943600" cy="2865120"/>
            <wp:effectExtent l="0" t="0" r="0" b="0"/>
            <wp:docPr id="1491636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36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97AA5" w14:textId="715FBDF8" w:rsidR="005042BA" w:rsidRDefault="005042BA" w:rsidP="001355B3">
      <w:pPr>
        <w:spacing w:before="200" w:after="80"/>
        <w:jc w:val="center"/>
      </w:pPr>
      <w:r w:rsidRPr="005042BA">
        <w:lastRenderedPageBreak/>
        <w:drawing>
          <wp:inline distT="0" distB="0" distL="0" distR="0" wp14:anchorId="0107CF41" wp14:editId="5AB70B16">
            <wp:extent cx="5943600" cy="3861435"/>
            <wp:effectExtent l="0" t="0" r="0" b="5715"/>
            <wp:docPr id="1494927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27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3BD7" w14:textId="156328D2" w:rsidR="005042BA" w:rsidRDefault="005042BA" w:rsidP="001355B3">
      <w:pPr>
        <w:spacing w:before="200" w:after="80"/>
        <w:jc w:val="center"/>
      </w:pPr>
      <w:r w:rsidRPr="005042BA">
        <w:drawing>
          <wp:inline distT="0" distB="0" distL="0" distR="0" wp14:anchorId="1821ACE0" wp14:editId="630B4610">
            <wp:extent cx="5943600" cy="2757170"/>
            <wp:effectExtent l="0" t="0" r="0" b="5080"/>
            <wp:docPr id="92883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332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4390" w14:textId="63704BD4" w:rsidR="005042BA" w:rsidRDefault="005042BA" w:rsidP="001355B3">
      <w:pPr>
        <w:spacing w:before="200" w:after="80"/>
        <w:jc w:val="center"/>
      </w:pPr>
      <w:r w:rsidRPr="005042BA">
        <w:lastRenderedPageBreak/>
        <w:drawing>
          <wp:inline distT="0" distB="0" distL="0" distR="0" wp14:anchorId="6619F9F3" wp14:editId="55E40E9C">
            <wp:extent cx="5943600" cy="3287395"/>
            <wp:effectExtent l="0" t="0" r="0" b="8255"/>
            <wp:docPr id="9200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6763" w14:textId="54E1E46D" w:rsidR="001355B3" w:rsidRDefault="00000000" w:rsidP="001355B3">
      <w:pPr>
        <w:jc w:val="center"/>
        <w:rPr>
          <w:rFonts w:ascii="Calibri" w:eastAsia="Calibri" w:hAnsi="Calibri" w:cs="Calibri"/>
          <w:i/>
          <w:iCs/>
          <w:sz w:val="18"/>
          <w:szCs w:val="18"/>
        </w:rPr>
      </w:pPr>
      <w:r>
        <w:rPr>
          <w:rFonts w:ascii="Calibri" w:eastAsia="Calibri" w:hAnsi="Calibri" w:cs="Calibri"/>
          <w:i/>
          <w:iCs/>
          <w:sz w:val="18"/>
          <w:szCs w:val="18"/>
        </w:rPr>
        <w:t>Figure 1 — Wireframe evidence for all four flows (Figma Make render)</w:t>
      </w:r>
    </w:p>
    <w:p w14:paraId="309449C5" w14:textId="1B178748" w:rsidR="001355B3" w:rsidRDefault="005042BA" w:rsidP="005042BA">
      <w:pPr>
        <w:jc w:val="center"/>
      </w:pPr>
      <w:r w:rsidRPr="005042BA">
        <w:drawing>
          <wp:inline distT="0" distB="0" distL="0" distR="0" wp14:anchorId="70AD8F5F" wp14:editId="1269F0A4">
            <wp:extent cx="5943600" cy="1600835"/>
            <wp:effectExtent l="0" t="0" r="0" b="0"/>
            <wp:docPr id="1455457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574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66E8C" w14:textId="77777777" w:rsidR="001355B3" w:rsidRDefault="001355B3" w:rsidP="001355B3">
      <w:pPr>
        <w:jc w:val="center"/>
      </w:pPr>
      <w:r>
        <w:rPr>
          <w:rFonts w:ascii="Calibri" w:eastAsia="Calibri" w:hAnsi="Calibri" w:cs="Calibri"/>
          <w:i/>
          <w:iCs/>
          <w:sz w:val="18"/>
          <w:szCs w:val="18"/>
        </w:rPr>
        <w:t>Figure 2 — Shared key-states legend, prior to the Revision 2 correction described in Section 5</w:t>
      </w:r>
    </w:p>
    <w:p w14:paraId="3D06EA47" w14:textId="77777777" w:rsidR="001355B3" w:rsidRPr="001355B3" w:rsidRDefault="001355B3">
      <w:pPr>
        <w:jc w:val="center"/>
      </w:pPr>
    </w:p>
    <w:sectPr w:rsidR="001355B3" w:rsidRPr="001355B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697042"/>
    <w:multiLevelType w:val="hybridMultilevel"/>
    <w:tmpl w:val="BF6AE2D6"/>
    <w:lvl w:ilvl="0" w:tplc="D01A22F2">
      <w:start w:val="1"/>
      <w:numFmt w:val="bullet"/>
      <w:lvlText w:val="●"/>
      <w:lvlJc w:val="left"/>
      <w:pPr>
        <w:ind w:left="720" w:hanging="360"/>
      </w:pPr>
    </w:lvl>
    <w:lvl w:ilvl="1" w:tplc="008EB542">
      <w:start w:val="1"/>
      <w:numFmt w:val="bullet"/>
      <w:lvlText w:val="○"/>
      <w:lvlJc w:val="left"/>
      <w:pPr>
        <w:ind w:left="1440" w:hanging="360"/>
      </w:pPr>
    </w:lvl>
    <w:lvl w:ilvl="2" w:tplc="54EEBA40">
      <w:start w:val="1"/>
      <w:numFmt w:val="bullet"/>
      <w:lvlText w:val="■"/>
      <w:lvlJc w:val="left"/>
      <w:pPr>
        <w:ind w:left="2160" w:hanging="360"/>
      </w:pPr>
    </w:lvl>
    <w:lvl w:ilvl="3" w:tplc="C094A6F8">
      <w:start w:val="1"/>
      <w:numFmt w:val="bullet"/>
      <w:lvlText w:val="●"/>
      <w:lvlJc w:val="left"/>
      <w:pPr>
        <w:ind w:left="2880" w:hanging="360"/>
      </w:pPr>
    </w:lvl>
    <w:lvl w:ilvl="4" w:tplc="1028166A">
      <w:start w:val="1"/>
      <w:numFmt w:val="bullet"/>
      <w:lvlText w:val="○"/>
      <w:lvlJc w:val="left"/>
      <w:pPr>
        <w:ind w:left="3600" w:hanging="360"/>
      </w:pPr>
    </w:lvl>
    <w:lvl w:ilvl="5" w:tplc="301E7F08">
      <w:start w:val="1"/>
      <w:numFmt w:val="bullet"/>
      <w:lvlText w:val="■"/>
      <w:lvlJc w:val="left"/>
      <w:pPr>
        <w:ind w:left="4320" w:hanging="360"/>
      </w:pPr>
    </w:lvl>
    <w:lvl w:ilvl="6" w:tplc="F2A2C1CC">
      <w:start w:val="1"/>
      <w:numFmt w:val="bullet"/>
      <w:lvlText w:val="●"/>
      <w:lvlJc w:val="left"/>
      <w:pPr>
        <w:ind w:left="5040" w:hanging="360"/>
      </w:pPr>
    </w:lvl>
    <w:lvl w:ilvl="7" w:tplc="20442658">
      <w:start w:val="1"/>
      <w:numFmt w:val="bullet"/>
      <w:lvlText w:val="●"/>
      <w:lvlJc w:val="left"/>
      <w:pPr>
        <w:ind w:left="5760" w:hanging="360"/>
      </w:pPr>
    </w:lvl>
    <w:lvl w:ilvl="8" w:tplc="6276C042">
      <w:start w:val="1"/>
      <w:numFmt w:val="bullet"/>
      <w:lvlText w:val="●"/>
      <w:lvlJc w:val="left"/>
      <w:pPr>
        <w:ind w:left="6480" w:hanging="360"/>
      </w:pPr>
    </w:lvl>
  </w:abstractNum>
  <w:num w:numId="1" w16cid:durableId="1284744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C37"/>
    <w:rsid w:val="001355B3"/>
    <w:rsid w:val="005042BA"/>
    <w:rsid w:val="00920E99"/>
    <w:rsid w:val="00C77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2C9E8"/>
  <w15:docId w15:val="{C8B4E8BD-CCED-4242-A4C3-2D19A860E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363</Words>
  <Characters>2072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Faridullah Jabbar Khil</cp:lastModifiedBy>
  <cp:revision>2</cp:revision>
  <dcterms:created xsi:type="dcterms:W3CDTF">2026-08-23T09:25:00Z</dcterms:created>
  <dcterms:modified xsi:type="dcterms:W3CDTF">2026-08-23T09:57:00Z</dcterms:modified>
</cp:coreProperties>
</file>