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annualAvgWklyWageNAICS11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5091.845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756.861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6.728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1206.315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819.299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edPercHSOrMore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-1902.028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613.583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poorMentalHealthDays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2462.589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350.255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uninsured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283.546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393.756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frequentPhysicalDistress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-2069.711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501.901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diabetesPrevalence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-1539.389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310.101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limitedAccessToHealthyFoods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-20.879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206.654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firearmFatalities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143.495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267.406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-126.855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84.200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sizeDiversity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146.701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53.942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13.646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9.254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animalRar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591.034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83.966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lulcDiversity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-26.196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116.594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53.262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353.342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annualPrecipMM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17.426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foodInsecurityRate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-212.747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90.416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costPerMeal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1078.797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salesAnimalAndCrop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19499.181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6221.876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producerRacialDiversity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39.556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27.950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expPF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1101.590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170.727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6.452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landValPerAcre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130.204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16.904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consEasementAcres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211.960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706.922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fuelExpensePropTotalExpense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2.878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ftmProdRatio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-12.600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14.667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propOpsOrganic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592.071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286.900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producerAgeSkew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-51.606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56.524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droughtNonConWeeksCat2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-341.908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heartDisease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-784.002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213.336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totalIndemnities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820.497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211.228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3.884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2025-08-20T13:07:22Z</dcterms:modified>
  <cp:category/>
</cp:coreProperties>
</file>