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 and building value per acre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5.952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 in agricultural establishments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14.779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Average weekly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26.062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Gini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indemnities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Expenses per operation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14.483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 change in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13.449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Market channel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-5.766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Sales from agritourism and recreation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15.662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Fuel expenses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Tree size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12.935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Tree species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-5.303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 of invasive 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Rarefied richness of animals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Rarefied richness of 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17.223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 Use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Weeks of extreme drought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 school graduation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-6.357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Limited access to healthy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Price of a meal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42.533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Food insecurity rate,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-5.536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Poor mental health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5.747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16.635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 uninsured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Frequent physical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Mobility disability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Diabetes prevelance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-6.036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Heart disease prevalence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-5.663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 of organic operations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Crop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animal and crop sales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Producer age skew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-2.684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Racial diversity of producers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Firearm fatalities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Voter turnout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body35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Acres in conservation easements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0.495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2025-08-24T16:30:52Z</dcterms:modified>
  <cp:category/>
</cp:coreProperties>
</file>