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21"/>
        <w:gridCol w:w="2967"/>
        <w:gridCol w:w="3370"/>
        <w:gridCol w:w="3603"/>
        <w:gridCol w:w="1080"/>
        <w:gridCol w:w="1080"/>
        <w:gridCol w:w="1145"/>
        <w:gridCol w:w="1080"/>
        <w:gridCol w:w="1080"/>
        <w:gridCol w:w="1145"/>
        <w:gridCol w:w="1145"/>
        <w:gridCol w:w="1080"/>
        <w:gridCol w:w="1108"/>
        <w:gridCol w:w="1144"/>
        <w:gridCol w:w="1254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dimension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reverse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economics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community economy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access to land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Land and building value per acre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better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economics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community economy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wealth and income distribution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Average weekly wages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5,091.8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3,608.4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6,575.3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better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economics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community economy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wealth and income distribution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Gini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-399.5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economics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food business 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farm insurance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indemnities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1,234.5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worse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economics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food business 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 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Expenses per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1,101.6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1,436.2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worse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environment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carbon, ghg, and nutrients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embodied carbon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Fuel expenses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worse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environment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 complexity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Tree size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better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environment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 complexity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Tree species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-291.9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environment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Proportion of invasive 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 and habitat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biodiversity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Rarefied richness of plants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426.5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755.6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better</w:t>
            </w:r>
          </w:p>
        </w:tc>
      </w:tr>
      <w:tr>
        <w:trPr>
          <w:trHeight w:val="360" w:hRule="auto"/>
        </w:trPr>
        footer 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 30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2025-08-24T14:55:25Z</dcterms:modified>
  <cp:category/>
</cp:coreProperties>
</file>