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Land and building value per acre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4.980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Change in agricultural establishments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3.133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Average weekly wages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5.994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Gini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indemnities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3.125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Expenses per operation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8.555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Percent change in wages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Market channel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Sales from agritourism and recreation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5.210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Fuel expenses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4.561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Tree size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Tree species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Proportion of invasive species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4.284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Rarefied richness of animals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Land Use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Weeks of extreme drought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 school graduation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Limited access to healthy foods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Price of a meal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2.714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Food insecurity rate, 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Poor mental health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5.747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9.742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Proportion uninsured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Frequent physical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Diabetes prevelance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Heart disease prevalence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Proportion of organic operations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3.913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Crop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animal and crop sales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Producer age skew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Firearm fatalities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Acres in conservation easements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0.321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2025-09-08T17:17:48Z</dcterms:modified>
  <cp:category/>
</cp:coreProperties>
</file>