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and building value per acre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5.952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 in agricultural establishments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14.779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Average weekly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Gini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indemnities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Expenses per operation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14.483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 change in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Market channel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Sales from agritourism and recreation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15.662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Fuel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size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12.935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Tree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invasive 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3.710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Rarefied richness of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5.176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Rarefied richness of 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17.223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 Use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Weeks of extreme drought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school graduation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-6.357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Limited access to healthy foods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Price of a meal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2.714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42.533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Food insecurity rate,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Poor mental health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5.747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16.635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uninsured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Frequent physical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Mobility disability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Diabetes prevelance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-6.036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Heart disease prevalence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-5.663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 of organic operations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2.496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animal and crop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6.505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Producer age skew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-2.684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better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Racial diversity of producers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1.795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Firearm fatalities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Voter turnout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worse</w:t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Acres in conservation easements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0.185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0.495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2025-08-19T17:00:14Z</dcterms:modified>
  <cp:category/>
</cp:coreProperties>
</file>