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annualAvgWklyWageNAICS11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5091.845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756.861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6.728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1206.315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819.299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edPercHSOrMore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-1902.028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613.583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poorMentalHealthDays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2462.589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350.255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283.546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393.756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frequentPhysicalDistress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-2069.711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501.901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-1539.389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310.101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limitedAccessToHealthyFoods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-20.879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206.654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143.495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267.406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-126.855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84.200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sizeDiversity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146.701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53.942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13.646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9.254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animalRar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591.034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83.966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lulcDiversity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-26.196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116.594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53.262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353.342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annualPrecipMM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17.426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foodInsecurityRate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-212.747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90.416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costPerMeal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1078.797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salesAnimalAndCrop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6221.876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producerRacialDiversity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39.556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27.950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expPF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1101.590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170.727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landValPerAcre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130.204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16.904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consEasementAcres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211.960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706.922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fuelExpensePropTotalExpense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2.878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ftmProdRatio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-12.600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propOpsOrganic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592.071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286.900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producerAgeSkew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-51.606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56.524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droughtNonConWeeksCat2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-341.908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-784.002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213.336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totalIndemnities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820.497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211.228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3.884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2025-08-19T17:03:41Z</dcterms:modified>
  <cp:category/>
</cp:coreProperties>
</file>