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1"/>
        <w:gridCol w:w="2967"/>
        <w:gridCol w:w="3370"/>
        <w:gridCol w:w="4079"/>
        <w:gridCol w:w="1242"/>
        <w:gridCol w:w="1230"/>
        <w:gridCol w:w="1145"/>
        <w:gridCol w:w="1120"/>
        <w:gridCol w:w="1080"/>
        <w:gridCol w:w="1108"/>
        <w:gridCol w:w="1080"/>
        <w:gridCol w:w="1413"/>
        <w:gridCol w:w="1144"/>
        <w:gridCol w:w="1254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dimension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reverse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business failure rate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 in agricultural establishments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5.683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wealth and income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Average weekly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wealth and income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 economy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access to 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and building value per acre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income 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 change in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income 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Expenses per 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11.556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operations diversification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 from agritourism and recreation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business resilience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farm insurance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indemnities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carbon, ghg, and nutrients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embodied carbon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environment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 complexity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size diversity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14.393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n: 31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2025-08-08T14:52:14Z</dcterms:modified>
  <cp:category/>
</cp:coreProperties>
</file>