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Witt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Documentation for completing AWS migration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Upon migrating different APIs, Gateways, and instances these various AWS apps require redeployment on new accounts or regions. This is documentation showing how to redeploy various applications.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API Gateway contains a simple “Deploy API” for the entire gateway: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4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Lambda Requires a “Restore” in order to continue functioning: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Restoring can take a few minutes per lambda: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15025" cy="57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EC2 Instances require a restart upon migration: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S3 Storage, This cannot be migrated as other services, however data can be transferred and copied over to other AWS accounts and will function as before.</w:t>
        <w:br w:type="textWrapping"/>
        <w:br w:type="textWrapping"/>
        <w:t xml:space="preserve">Textract requires no migration since storage is typically handled in S3, Textract is a service that is offered but does not store or allow changes by users.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