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user code delivery by taking an email to check if the email is registered into the system and then sending a password reset code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a4zessq1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/send-code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5snky7oh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yy9rj3hw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b3jw7vu1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user’s email address.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x2ethnq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amfmgf62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ujptg3t3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"message": "Reset code sent successfully"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az9mo9v9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oivblf9aa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8blzzc0ur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Missing Email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j0wrf91b0s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"error": "Email is required"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qlbxu42lv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Email Not Registered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404 Not Found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hczdwycvvyt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"error": "Email not registered"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9mmy1hfp97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rxgn6t8d4y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n3xskoxm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endpoint checks if the email exists in the database.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random 6-digit reset code is generated and saved in the database with a 5-minute expiration time.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reset code is sent to the user’s email address using a configured SMTP server.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email credentials and database configuration are securely stored.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