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A3B7" w14:textId="665E1F0E" w:rsidR="002829FD" w:rsidRDefault="002829FD" w:rsidP="00BC501F">
      <w:pPr>
        <w:rPr>
          <w:rFonts w:ascii="Times New Roman" w:hAnsi="Times New Roman" w:cs="Times New Roman"/>
          <w:b/>
          <w:bCs/>
        </w:rPr>
      </w:pPr>
      <w:r w:rsidRPr="002829FD">
        <w:rPr>
          <w:rFonts w:ascii="Times New Roman" w:hAnsi="Times New Roman" w:cs="Times New Roman"/>
          <w:b/>
          <w:bCs/>
        </w:rPr>
        <w:t>Meat Calculator-Cost of production</w:t>
      </w:r>
    </w:p>
    <w:p w14:paraId="43DA4788" w14:textId="27F71861" w:rsidR="002829FD" w:rsidRDefault="002829FD" w:rsidP="00BC501F">
      <w:pPr>
        <w:rPr>
          <w:rFonts w:ascii="Times New Roman" w:hAnsi="Times New Roman" w:cs="Times New Roman"/>
          <w:b/>
          <w:bCs/>
        </w:rPr>
      </w:pPr>
    </w:p>
    <w:p w14:paraId="4D6F1143" w14:textId="32DB477D" w:rsidR="002829FD" w:rsidRPr="002829FD" w:rsidRDefault="002829FD" w:rsidP="00BC501F">
      <w:pPr>
        <w:rPr>
          <w:rFonts w:ascii="Times New Roman" w:hAnsi="Times New Roman" w:cs="Times New Roman"/>
          <w:b/>
          <w:bCs/>
        </w:rPr>
      </w:pPr>
      <w:r>
        <w:rPr>
          <w:rFonts w:ascii="Times New Roman" w:hAnsi="Times New Roman" w:cs="Times New Roman"/>
          <w:b/>
          <w:bCs/>
        </w:rPr>
        <w:t>Introduction</w:t>
      </w:r>
    </w:p>
    <w:p w14:paraId="7D16BC52" w14:textId="5AB4D5DC" w:rsidR="002829FD" w:rsidRPr="00BC24BE" w:rsidRDefault="00BC24BE" w:rsidP="00BC501F">
      <w:pPr>
        <w:rPr>
          <w:rFonts w:ascii="Times New Roman" w:hAnsi="Times New Roman" w:cs="Times New Roman"/>
          <w:i/>
          <w:iCs/>
        </w:rPr>
      </w:pPr>
      <w:r w:rsidRPr="00BC24BE">
        <w:rPr>
          <w:rFonts w:ascii="Times New Roman" w:hAnsi="Times New Roman" w:cs="Times New Roman"/>
          <w:i/>
          <w:iCs/>
        </w:rPr>
        <w:t>Add here</w:t>
      </w:r>
    </w:p>
    <w:p w14:paraId="136E6AA0" w14:textId="77777777" w:rsidR="00BC24BE" w:rsidRDefault="00BC24BE" w:rsidP="00BC501F">
      <w:pPr>
        <w:rPr>
          <w:rFonts w:ascii="Times New Roman" w:hAnsi="Times New Roman" w:cs="Times New Roman"/>
        </w:rPr>
      </w:pPr>
    </w:p>
    <w:p w14:paraId="77F501FC" w14:textId="661E01DD" w:rsidR="002829FD" w:rsidRPr="002829FD" w:rsidRDefault="002829FD" w:rsidP="00BC501F">
      <w:pPr>
        <w:rPr>
          <w:rFonts w:ascii="Times New Roman" w:hAnsi="Times New Roman" w:cs="Times New Roman"/>
          <w:b/>
          <w:bCs/>
        </w:rPr>
      </w:pPr>
      <w:r w:rsidRPr="002829FD">
        <w:rPr>
          <w:rFonts w:ascii="Times New Roman" w:hAnsi="Times New Roman" w:cs="Times New Roman"/>
          <w:b/>
          <w:bCs/>
        </w:rPr>
        <w:t>Data</w:t>
      </w:r>
    </w:p>
    <w:p w14:paraId="102E8826" w14:textId="1C891AC8" w:rsidR="00E31388" w:rsidRPr="002829FD" w:rsidRDefault="00012BBE" w:rsidP="00BC501F">
      <w:pPr>
        <w:rPr>
          <w:rFonts w:ascii="Times New Roman" w:hAnsi="Times New Roman" w:cs="Times New Roman"/>
        </w:rPr>
      </w:pPr>
      <w:r w:rsidRPr="002829FD">
        <w:rPr>
          <w:rFonts w:ascii="Times New Roman" w:hAnsi="Times New Roman" w:cs="Times New Roman"/>
        </w:rPr>
        <w:t>We use 2017 Census of Agriculture microdata</w:t>
      </w:r>
      <w:r w:rsidR="008A2AAD" w:rsidRPr="002829FD">
        <w:rPr>
          <w:rFonts w:ascii="Times New Roman" w:hAnsi="Times New Roman" w:cs="Times New Roman"/>
        </w:rPr>
        <w:t xml:space="preserve"> to estimate the average cost of production for livestock operations selling through local food market channels</w:t>
      </w:r>
      <w:r w:rsidR="00262F01" w:rsidRPr="002829FD">
        <w:rPr>
          <w:rFonts w:ascii="Times New Roman" w:hAnsi="Times New Roman" w:cs="Times New Roman"/>
        </w:rPr>
        <w:t xml:space="preserve"> (including direct-to-consumer and intermediated markets)</w:t>
      </w:r>
      <w:r w:rsidRPr="002829FD">
        <w:rPr>
          <w:rFonts w:ascii="Times New Roman" w:hAnsi="Times New Roman" w:cs="Times New Roman"/>
        </w:rPr>
        <w:t xml:space="preserve">. In the Census of Agriculture, a farm is defined as a place from which $1,000 or more of agricultural products were produced and sold, or normally would have been sold, during the census year. This very liberal definition of a farm captures </w:t>
      </w:r>
      <w:r w:rsidR="00AB18F7" w:rsidRPr="002829FD">
        <w:rPr>
          <w:rFonts w:ascii="Times New Roman" w:hAnsi="Times New Roman" w:cs="Times New Roman"/>
        </w:rPr>
        <w:t>a wide range of farms, including those</w:t>
      </w:r>
      <w:r w:rsidRPr="002829FD">
        <w:rPr>
          <w:rFonts w:ascii="Times New Roman" w:hAnsi="Times New Roman" w:cs="Times New Roman"/>
        </w:rPr>
        <w:t xml:space="preserve"> </w:t>
      </w:r>
      <w:r w:rsidR="00AB18F7" w:rsidRPr="002829FD">
        <w:rPr>
          <w:rFonts w:ascii="Times New Roman" w:hAnsi="Times New Roman" w:cs="Times New Roman"/>
        </w:rPr>
        <w:t xml:space="preserve">that </w:t>
      </w:r>
      <w:r w:rsidRPr="002829FD">
        <w:rPr>
          <w:rFonts w:ascii="Times New Roman" w:hAnsi="Times New Roman" w:cs="Times New Roman"/>
        </w:rPr>
        <w:t>are not aspiring to be commercially viable operation</w:t>
      </w:r>
      <w:r w:rsidR="00AB18F7" w:rsidRPr="002829FD">
        <w:rPr>
          <w:rFonts w:ascii="Times New Roman" w:hAnsi="Times New Roman" w:cs="Times New Roman"/>
        </w:rPr>
        <w:t>s</w:t>
      </w:r>
      <w:r w:rsidRPr="002829FD">
        <w:rPr>
          <w:rFonts w:ascii="Times New Roman" w:hAnsi="Times New Roman" w:cs="Times New Roman"/>
        </w:rPr>
        <w:t xml:space="preserve">. </w:t>
      </w:r>
      <w:r w:rsidR="00E31388" w:rsidRPr="002829FD">
        <w:rPr>
          <w:rFonts w:ascii="Times New Roman" w:hAnsi="Times New Roman" w:cs="Times New Roman"/>
        </w:rPr>
        <w:t>To capture only commercial operations, we drop all observations with less than $1,000 in sales</w:t>
      </w:r>
      <w:r w:rsidR="00855E3E" w:rsidRPr="002829FD">
        <w:rPr>
          <w:rFonts w:ascii="Times New Roman" w:hAnsi="Times New Roman" w:cs="Times New Roman"/>
        </w:rPr>
        <w:t xml:space="preserve">. </w:t>
      </w:r>
    </w:p>
    <w:p w14:paraId="31A9C0DB" w14:textId="04ADEF54" w:rsidR="00E31388" w:rsidRDefault="00E31388" w:rsidP="00BC501F">
      <w:pPr>
        <w:rPr>
          <w:rFonts w:ascii="Times New Roman" w:hAnsi="Times New Roman" w:cs="Times New Roman"/>
        </w:rPr>
      </w:pPr>
    </w:p>
    <w:p w14:paraId="55F52E3B" w14:textId="79F7B49D" w:rsidR="00012BBE" w:rsidRDefault="00950090" w:rsidP="00BC501F">
      <w:pPr>
        <w:rPr>
          <w:rFonts w:ascii="Times New Roman" w:hAnsi="Times New Roman" w:cs="Times New Roman"/>
        </w:rPr>
      </w:pPr>
      <w:r w:rsidRPr="002829FD">
        <w:rPr>
          <w:rFonts w:ascii="Times New Roman" w:hAnsi="Times New Roman" w:cs="Times New Roman"/>
        </w:rPr>
        <w:t xml:space="preserve">Our sample consists only of non-diversified operations, i.e., operations that sell one species and no crops, so we can attribute all costs of production to only the species of interest. Farms are allowed to grow crops but have zero sales, implying that those costs accrue to feed requirements for the livestock enterprise. </w:t>
      </w:r>
      <w:r w:rsidR="002448B6" w:rsidRPr="002829FD">
        <w:rPr>
          <w:rFonts w:ascii="Times New Roman" w:hAnsi="Times New Roman" w:cs="Times New Roman"/>
        </w:rPr>
        <w:t>To</w:t>
      </w:r>
      <w:r w:rsidR="003D3F4E" w:rsidRPr="002829FD">
        <w:rPr>
          <w:rFonts w:ascii="Times New Roman" w:hAnsi="Times New Roman" w:cs="Times New Roman"/>
        </w:rPr>
        <w:t xml:space="preserve"> capture cost of production differences across scale, we separate</w:t>
      </w:r>
      <w:r w:rsidR="00803069" w:rsidRPr="002829FD">
        <w:rPr>
          <w:rFonts w:ascii="Times New Roman" w:hAnsi="Times New Roman" w:cs="Times New Roman"/>
        </w:rPr>
        <w:t xml:space="preserve"> our sample, based on the number of head sold in a year, into small operations (&lt;25</w:t>
      </w:r>
      <w:r w:rsidR="00803069" w:rsidRPr="002829FD">
        <w:rPr>
          <w:rFonts w:ascii="Times New Roman" w:hAnsi="Times New Roman" w:cs="Times New Roman"/>
          <w:vertAlign w:val="superscript"/>
        </w:rPr>
        <w:t>th</w:t>
      </w:r>
      <w:r w:rsidR="00803069" w:rsidRPr="002829FD">
        <w:rPr>
          <w:rFonts w:ascii="Times New Roman" w:hAnsi="Times New Roman" w:cs="Times New Roman"/>
        </w:rPr>
        <w:t xml:space="preserve"> quantile), mid-size operations (25</w:t>
      </w:r>
      <w:r w:rsidR="00803069" w:rsidRPr="002829FD">
        <w:rPr>
          <w:rFonts w:ascii="Times New Roman" w:hAnsi="Times New Roman" w:cs="Times New Roman"/>
          <w:vertAlign w:val="superscript"/>
        </w:rPr>
        <w:t>th</w:t>
      </w:r>
      <w:r w:rsidR="00803069" w:rsidRPr="002829FD">
        <w:rPr>
          <w:rFonts w:ascii="Times New Roman" w:hAnsi="Times New Roman" w:cs="Times New Roman"/>
        </w:rPr>
        <w:t xml:space="preserve"> to 75</w:t>
      </w:r>
      <w:r w:rsidR="00803069" w:rsidRPr="002829FD">
        <w:rPr>
          <w:rFonts w:ascii="Times New Roman" w:hAnsi="Times New Roman" w:cs="Times New Roman"/>
          <w:vertAlign w:val="superscript"/>
        </w:rPr>
        <w:t>th</w:t>
      </w:r>
      <w:r w:rsidR="00803069" w:rsidRPr="002829FD">
        <w:rPr>
          <w:rFonts w:ascii="Times New Roman" w:hAnsi="Times New Roman" w:cs="Times New Roman"/>
        </w:rPr>
        <w:t xml:space="preserve"> quantile) and large operations (7</w:t>
      </w:r>
      <w:r w:rsidR="001B1940" w:rsidRPr="002829FD">
        <w:rPr>
          <w:rFonts w:ascii="Times New Roman" w:hAnsi="Times New Roman" w:cs="Times New Roman"/>
        </w:rPr>
        <w:t>6</w:t>
      </w:r>
      <w:r w:rsidR="00803069" w:rsidRPr="002829FD">
        <w:rPr>
          <w:rFonts w:ascii="Times New Roman" w:hAnsi="Times New Roman" w:cs="Times New Roman"/>
          <w:vertAlign w:val="superscript"/>
        </w:rPr>
        <w:t>th</w:t>
      </w:r>
      <w:r w:rsidR="00803069" w:rsidRPr="002829FD">
        <w:rPr>
          <w:rFonts w:ascii="Times New Roman" w:hAnsi="Times New Roman" w:cs="Times New Roman"/>
        </w:rPr>
        <w:t xml:space="preserve"> to 9</w:t>
      </w:r>
      <w:r w:rsidR="00F209DC">
        <w:rPr>
          <w:rFonts w:ascii="Times New Roman" w:hAnsi="Times New Roman" w:cs="Times New Roman"/>
        </w:rPr>
        <w:t>5</w:t>
      </w:r>
      <w:r w:rsidR="00803069" w:rsidRPr="002829FD">
        <w:rPr>
          <w:rFonts w:ascii="Times New Roman" w:hAnsi="Times New Roman" w:cs="Times New Roman"/>
          <w:vertAlign w:val="superscript"/>
        </w:rPr>
        <w:t>th</w:t>
      </w:r>
      <w:r w:rsidR="00803069" w:rsidRPr="002829FD">
        <w:rPr>
          <w:rFonts w:ascii="Times New Roman" w:hAnsi="Times New Roman" w:cs="Times New Roman"/>
        </w:rPr>
        <w:t xml:space="preserve"> </w:t>
      </w:r>
      <w:r w:rsidR="001B1940" w:rsidRPr="002829FD">
        <w:rPr>
          <w:rFonts w:ascii="Times New Roman" w:hAnsi="Times New Roman" w:cs="Times New Roman"/>
        </w:rPr>
        <w:t>quantile</w:t>
      </w:r>
      <w:r w:rsidR="00803069" w:rsidRPr="002829FD">
        <w:rPr>
          <w:rFonts w:ascii="Times New Roman" w:hAnsi="Times New Roman" w:cs="Times New Roman"/>
        </w:rPr>
        <w:t xml:space="preserve">). We drop </w:t>
      </w:r>
      <w:r w:rsidR="00295C34" w:rsidRPr="002829FD">
        <w:rPr>
          <w:rFonts w:ascii="Times New Roman" w:hAnsi="Times New Roman" w:cs="Times New Roman"/>
        </w:rPr>
        <w:t>observations above the 9</w:t>
      </w:r>
      <w:r w:rsidR="00F209DC">
        <w:rPr>
          <w:rFonts w:ascii="Times New Roman" w:hAnsi="Times New Roman" w:cs="Times New Roman"/>
        </w:rPr>
        <w:t>5</w:t>
      </w:r>
      <w:r w:rsidR="00295C34" w:rsidRPr="002829FD">
        <w:rPr>
          <w:rFonts w:ascii="Times New Roman" w:hAnsi="Times New Roman" w:cs="Times New Roman"/>
          <w:vertAlign w:val="superscript"/>
        </w:rPr>
        <w:t>th</w:t>
      </w:r>
      <w:r w:rsidR="00295C34" w:rsidRPr="002829FD">
        <w:rPr>
          <w:rFonts w:ascii="Times New Roman" w:hAnsi="Times New Roman" w:cs="Times New Roman"/>
        </w:rPr>
        <w:t xml:space="preserve"> percentile</w:t>
      </w:r>
      <w:r w:rsidR="00803069" w:rsidRPr="002829FD">
        <w:rPr>
          <w:rFonts w:ascii="Times New Roman" w:hAnsi="Times New Roman" w:cs="Times New Roman"/>
        </w:rPr>
        <w:t xml:space="preserve"> </w:t>
      </w:r>
      <w:r w:rsidR="00AB18F7" w:rsidRPr="002829FD">
        <w:rPr>
          <w:rFonts w:ascii="Times New Roman" w:hAnsi="Times New Roman" w:cs="Times New Roman"/>
        </w:rPr>
        <w:t>as</w:t>
      </w:r>
      <w:r w:rsidR="00803069" w:rsidRPr="002829FD">
        <w:rPr>
          <w:rFonts w:ascii="Times New Roman" w:hAnsi="Times New Roman" w:cs="Times New Roman"/>
        </w:rPr>
        <w:t xml:space="preserve"> outliers. </w:t>
      </w:r>
      <w:r w:rsidR="00AF52A4" w:rsidRPr="002829FD">
        <w:rPr>
          <w:rFonts w:ascii="Times New Roman" w:hAnsi="Times New Roman" w:cs="Times New Roman"/>
        </w:rPr>
        <w:t xml:space="preserve">Species groupings include (1) </w:t>
      </w:r>
      <w:r w:rsidR="00262F01" w:rsidRPr="002829FD">
        <w:rPr>
          <w:rFonts w:ascii="Times New Roman" w:hAnsi="Times New Roman" w:cs="Times New Roman"/>
        </w:rPr>
        <w:t xml:space="preserve">non-dairy </w:t>
      </w:r>
      <w:r w:rsidR="00AF52A4" w:rsidRPr="002829FD">
        <w:rPr>
          <w:rFonts w:ascii="Times New Roman" w:hAnsi="Times New Roman" w:cs="Times New Roman"/>
        </w:rPr>
        <w:t xml:space="preserve">cattle, (2) hogs and pigs, and (3) sheep, lamb, </w:t>
      </w:r>
      <w:r w:rsidR="00AD7A2E" w:rsidRPr="002829FD">
        <w:rPr>
          <w:rFonts w:ascii="Times New Roman" w:hAnsi="Times New Roman" w:cs="Times New Roman"/>
        </w:rPr>
        <w:t xml:space="preserve">and </w:t>
      </w:r>
      <w:r w:rsidR="00AF52A4" w:rsidRPr="002829FD">
        <w:rPr>
          <w:rFonts w:ascii="Times New Roman" w:hAnsi="Times New Roman" w:cs="Times New Roman"/>
        </w:rPr>
        <w:t xml:space="preserve">meat goats. </w:t>
      </w:r>
      <w:r w:rsidR="00341A43" w:rsidRPr="002829FD">
        <w:rPr>
          <w:rFonts w:ascii="Times New Roman" w:hAnsi="Times New Roman" w:cs="Times New Roman"/>
        </w:rPr>
        <w:t xml:space="preserve">For non-dairy cattle operations, we drop operations selling zero cattle weighing 500 pounds or more. </w:t>
      </w:r>
      <w:r w:rsidR="00DF0B9F" w:rsidRPr="002829FD">
        <w:rPr>
          <w:rFonts w:ascii="Times New Roman" w:hAnsi="Times New Roman" w:cs="Times New Roman"/>
        </w:rPr>
        <w:t>We provide the expen</w:t>
      </w:r>
      <w:r w:rsidR="002448B6" w:rsidRPr="002829FD">
        <w:rPr>
          <w:rFonts w:ascii="Times New Roman" w:hAnsi="Times New Roman" w:cs="Times New Roman"/>
        </w:rPr>
        <w:t>ses</w:t>
      </w:r>
      <w:r w:rsidR="00DF0B9F" w:rsidRPr="002829FD">
        <w:rPr>
          <w:rFonts w:ascii="Times New Roman" w:hAnsi="Times New Roman" w:cs="Times New Roman"/>
        </w:rPr>
        <w:t xml:space="preserve"> as a</w:t>
      </w:r>
      <w:r w:rsidR="0040695C" w:rsidRPr="002829FD">
        <w:rPr>
          <w:rFonts w:ascii="Times New Roman" w:hAnsi="Times New Roman" w:cs="Times New Roman"/>
        </w:rPr>
        <w:t xml:space="preserve"> cost per head</w:t>
      </w:r>
      <w:r w:rsidR="00DF0B9F" w:rsidRPr="002829FD">
        <w:rPr>
          <w:rFonts w:ascii="Times New Roman" w:hAnsi="Times New Roman" w:cs="Times New Roman"/>
        </w:rPr>
        <w:t xml:space="preserve"> by </w:t>
      </w:r>
      <w:r w:rsidR="007841D9" w:rsidRPr="002829FD">
        <w:rPr>
          <w:rFonts w:ascii="Times New Roman" w:hAnsi="Times New Roman" w:cs="Times New Roman"/>
        </w:rPr>
        <w:t xml:space="preserve">species, </w:t>
      </w:r>
      <w:r w:rsidR="00DF0B9F" w:rsidRPr="002829FD">
        <w:rPr>
          <w:rFonts w:ascii="Times New Roman" w:hAnsi="Times New Roman" w:cs="Times New Roman"/>
        </w:rPr>
        <w:t>scale, market channel</w:t>
      </w:r>
      <w:r w:rsidR="00624CCA" w:rsidRPr="002829FD">
        <w:rPr>
          <w:rFonts w:ascii="Times New Roman" w:hAnsi="Times New Roman" w:cs="Times New Roman"/>
        </w:rPr>
        <w:t>, and region</w:t>
      </w:r>
      <w:r w:rsidR="00F209DC">
        <w:rPr>
          <w:rStyle w:val="FootnoteReference"/>
          <w:rFonts w:ascii="Times New Roman" w:hAnsi="Times New Roman" w:cs="Times New Roman"/>
        </w:rPr>
        <w:footnoteReference w:id="1"/>
      </w:r>
      <w:r w:rsidR="00DF0B9F" w:rsidRPr="002829FD">
        <w:rPr>
          <w:rFonts w:ascii="Times New Roman" w:hAnsi="Times New Roman" w:cs="Times New Roman"/>
        </w:rPr>
        <w:t>.</w:t>
      </w:r>
      <w:r w:rsidR="002448B6" w:rsidRPr="002829FD">
        <w:rPr>
          <w:rFonts w:ascii="Times New Roman" w:hAnsi="Times New Roman" w:cs="Times New Roman"/>
        </w:rPr>
        <w:t xml:space="preserve"> </w:t>
      </w:r>
    </w:p>
    <w:p w14:paraId="6900C313" w14:textId="77777777" w:rsidR="00950090" w:rsidRPr="002829FD" w:rsidRDefault="00950090" w:rsidP="00BC501F">
      <w:pPr>
        <w:rPr>
          <w:rFonts w:ascii="Times New Roman" w:hAnsi="Times New Roman" w:cs="Times New Roman"/>
        </w:rPr>
      </w:pPr>
    </w:p>
    <w:p w14:paraId="4AF2D177" w14:textId="5D48AB4F" w:rsidR="007B3089" w:rsidRPr="00950090" w:rsidRDefault="00DA4B94" w:rsidP="00950090">
      <w:pPr>
        <w:rPr>
          <w:rFonts w:ascii="Times New Roman" w:hAnsi="Times New Roman" w:cs="Times New Roman"/>
          <w:b/>
          <w:bCs/>
        </w:rPr>
      </w:pPr>
      <w:r w:rsidRPr="00DA4B94">
        <w:rPr>
          <w:rFonts w:ascii="Times New Roman" w:hAnsi="Times New Roman" w:cs="Times New Roman"/>
          <w:b/>
          <w:bCs/>
        </w:rPr>
        <w:t>Methods</w:t>
      </w:r>
    </w:p>
    <w:p w14:paraId="03CBA495" w14:textId="39CE3C3C" w:rsidR="001B1940" w:rsidRPr="002829FD" w:rsidRDefault="00173FD6" w:rsidP="001B1940">
      <w:pPr>
        <w:rPr>
          <w:rFonts w:ascii="Times New Roman" w:hAnsi="Times New Roman" w:cs="Times New Roman"/>
        </w:rPr>
      </w:pPr>
      <w:r>
        <w:rPr>
          <w:rFonts w:ascii="Times New Roman" w:hAnsi="Times New Roman" w:cs="Times New Roman"/>
        </w:rPr>
        <w:t xml:space="preserve">Given the large differences in costs across scale, we separate our sample by scale, </w:t>
      </w:r>
      <w:r w:rsidR="007B3089" w:rsidRPr="002829FD">
        <w:rPr>
          <w:rFonts w:ascii="Times New Roman" w:hAnsi="Times New Roman" w:cs="Times New Roman"/>
        </w:rPr>
        <w:t xml:space="preserve">based on head sold. </w:t>
      </w:r>
      <w:r w:rsidR="001B1940" w:rsidRPr="002829FD">
        <w:rPr>
          <w:rFonts w:ascii="Times New Roman" w:hAnsi="Times New Roman" w:cs="Times New Roman"/>
        </w:rPr>
        <w:t>For each species, we have three categories: small operations (&lt;25</w:t>
      </w:r>
      <w:r w:rsidR="001B1940" w:rsidRPr="002829FD">
        <w:rPr>
          <w:rFonts w:ascii="Times New Roman" w:hAnsi="Times New Roman" w:cs="Times New Roman"/>
          <w:vertAlign w:val="superscript"/>
        </w:rPr>
        <w:t>th</w:t>
      </w:r>
      <w:r w:rsidR="001B1940" w:rsidRPr="002829FD">
        <w:rPr>
          <w:rFonts w:ascii="Times New Roman" w:hAnsi="Times New Roman" w:cs="Times New Roman"/>
        </w:rPr>
        <w:t xml:space="preserve"> quantile), mid-size operations (25</w:t>
      </w:r>
      <w:r w:rsidR="001B1940" w:rsidRPr="002829FD">
        <w:rPr>
          <w:rFonts w:ascii="Times New Roman" w:hAnsi="Times New Roman" w:cs="Times New Roman"/>
          <w:vertAlign w:val="superscript"/>
        </w:rPr>
        <w:t>th</w:t>
      </w:r>
      <w:r w:rsidR="001B1940" w:rsidRPr="002829FD">
        <w:rPr>
          <w:rFonts w:ascii="Times New Roman" w:hAnsi="Times New Roman" w:cs="Times New Roman"/>
        </w:rPr>
        <w:t xml:space="preserve"> to 75</w:t>
      </w:r>
      <w:r w:rsidR="001B1940" w:rsidRPr="002829FD">
        <w:rPr>
          <w:rFonts w:ascii="Times New Roman" w:hAnsi="Times New Roman" w:cs="Times New Roman"/>
          <w:vertAlign w:val="superscript"/>
        </w:rPr>
        <w:t>th</w:t>
      </w:r>
      <w:r w:rsidR="001B1940" w:rsidRPr="002829FD">
        <w:rPr>
          <w:rFonts w:ascii="Times New Roman" w:hAnsi="Times New Roman" w:cs="Times New Roman"/>
        </w:rPr>
        <w:t xml:space="preserve"> quantile) and the large operations (76</w:t>
      </w:r>
      <w:r w:rsidR="001B1940" w:rsidRPr="002829FD">
        <w:rPr>
          <w:rFonts w:ascii="Times New Roman" w:hAnsi="Times New Roman" w:cs="Times New Roman"/>
          <w:vertAlign w:val="superscript"/>
        </w:rPr>
        <w:t>th</w:t>
      </w:r>
      <w:r w:rsidR="001B1940" w:rsidRPr="002829FD">
        <w:rPr>
          <w:rFonts w:ascii="Times New Roman" w:hAnsi="Times New Roman" w:cs="Times New Roman"/>
        </w:rPr>
        <w:t xml:space="preserve"> to 9</w:t>
      </w:r>
      <w:r w:rsidR="00DA4B94">
        <w:rPr>
          <w:rFonts w:ascii="Times New Roman" w:hAnsi="Times New Roman" w:cs="Times New Roman"/>
        </w:rPr>
        <w:t>5</w:t>
      </w:r>
      <w:r w:rsidR="001B1940" w:rsidRPr="002829FD">
        <w:rPr>
          <w:rFonts w:ascii="Times New Roman" w:hAnsi="Times New Roman" w:cs="Times New Roman"/>
          <w:vertAlign w:val="superscript"/>
        </w:rPr>
        <w:t>th</w:t>
      </w:r>
      <w:r w:rsidR="001B1940" w:rsidRPr="002829FD">
        <w:rPr>
          <w:rFonts w:ascii="Times New Roman" w:hAnsi="Times New Roman" w:cs="Times New Roman"/>
        </w:rPr>
        <w:t xml:space="preserve"> quantile). We drop observations above the 9</w:t>
      </w:r>
      <w:r w:rsidR="00DA4B94">
        <w:rPr>
          <w:rFonts w:ascii="Times New Roman" w:hAnsi="Times New Roman" w:cs="Times New Roman"/>
        </w:rPr>
        <w:t>5</w:t>
      </w:r>
      <w:r w:rsidR="001B1940" w:rsidRPr="002829FD">
        <w:rPr>
          <w:rFonts w:ascii="Times New Roman" w:hAnsi="Times New Roman" w:cs="Times New Roman"/>
          <w:vertAlign w:val="superscript"/>
        </w:rPr>
        <w:t>th</w:t>
      </w:r>
      <w:r w:rsidR="001B1940" w:rsidRPr="002829FD">
        <w:rPr>
          <w:rFonts w:ascii="Times New Roman" w:hAnsi="Times New Roman" w:cs="Times New Roman"/>
        </w:rPr>
        <w:t xml:space="preserve"> percentile due to outliers. </w:t>
      </w:r>
    </w:p>
    <w:p w14:paraId="112798EF" w14:textId="77777777" w:rsidR="007B3089" w:rsidRPr="002829FD" w:rsidRDefault="007B3089" w:rsidP="007B3089">
      <w:pPr>
        <w:rPr>
          <w:rFonts w:ascii="Times New Roman" w:hAnsi="Times New Roman" w:cs="Times New Roman"/>
        </w:rPr>
      </w:pPr>
    </w:p>
    <w:p w14:paraId="43BC8E0A" w14:textId="6C2EC068" w:rsidR="008F39B4" w:rsidRDefault="008F39B4" w:rsidP="008F39B4">
      <w:pPr>
        <w:pStyle w:val="ListParagraph"/>
        <w:numPr>
          <w:ilvl w:val="0"/>
          <w:numId w:val="3"/>
        </w:numPr>
        <w:rPr>
          <w:rFonts w:ascii="Times New Roman" w:hAnsi="Times New Roman" w:cs="Times New Roman"/>
        </w:rPr>
      </w:pPr>
      <w:r>
        <w:rPr>
          <w:rFonts w:ascii="Times New Roman" w:hAnsi="Times New Roman" w:cs="Times New Roman"/>
        </w:rPr>
        <w:t xml:space="preserve">Cattle: </w:t>
      </w:r>
      <w:r w:rsidR="00036200" w:rsidRPr="00EF6794">
        <w:rPr>
          <w:rFonts w:ascii="Times New Roman" w:hAnsi="Times New Roman" w:cs="Times New Roman"/>
        </w:rPr>
        <w:t>Cattle sold or moved from this operation in 2017, including calves weighing 500</w:t>
      </w:r>
      <w:r w:rsidR="00036200" w:rsidRPr="002829FD">
        <w:rPr>
          <w:rFonts w:ascii="Times New Roman" w:hAnsi="Times New Roman" w:cs="Times New Roman"/>
        </w:rPr>
        <w:t xml:space="preserve"> pounds or more</w:t>
      </w:r>
      <w:r w:rsidR="00036200">
        <w:rPr>
          <w:rFonts w:ascii="Times New Roman" w:hAnsi="Times New Roman" w:cs="Times New Roman"/>
        </w:rPr>
        <w:t xml:space="preserve">, </w:t>
      </w:r>
      <w:r>
        <w:rPr>
          <w:rFonts w:ascii="Times New Roman" w:hAnsi="Times New Roman" w:cs="Times New Roman"/>
        </w:rPr>
        <w:t>local only</w:t>
      </w:r>
    </w:p>
    <w:p w14:paraId="0FFC0BA2" w14:textId="6E262A9D" w:rsidR="008F39B4" w:rsidRPr="002829FD" w:rsidRDefault="008F39B4" w:rsidP="008F39B4">
      <w:pPr>
        <w:pStyle w:val="ListParagraph"/>
        <w:numPr>
          <w:ilvl w:val="1"/>
          <w:numId w:val="3"/>
        </w:numPr>
        <w:rPr>
          <w:rFonts w:ascii="Times New Roman" w:hAnsi="Times New Roman" w:cs="Times New Roman"/>
        </w:rPr>
      </w:pPr>
      <w:r w:rsidRPr="002829FD">
        <w:rPr>
          <w:rFonts w:ascii="Times New Roman" w:hAnsi="Times New Roman" w:cs="Times New Roman"/>
        </w:rPr>
        <w:t>Small scale (&lt;25</w:t>
      </w:r>
      <w:r w:rsidRPr="002829FD">
        <w:rPr>
          <w:rFonts w:ascii="Times New Roman" w:hAnsi="Times New Roman" w:cs="Times New Roman"/>
          <w:vertAlign w:val="superscript"/>
        </w:rPr>
        <w:t>th</w:t>
      </w:r>
      <w:r w:rsidRPr="002829FD">
        <w:rPr>
          <w:rFonts w:ascii="Times New Roman" w:hAnsi="Times New Roman" w:cs="Times New Roman"/>
        </w:rPr>
        <w:t xml:space="preserve"> quantile): &lt;</w:t>
      </w:r>
      <w:r>
        <w:rPr>
          <w:rFonts w:ascii="Times New Roman" w:hAnsi="Times New Roman" w:cs="Times New Roman"/>
        </w:rPr>
        <w:t>2</w:t>
      </w:r>
      <w:r w:rsidRPr="002829FD">
        <w:rPr>
          <w:rFonts w:ascii="Times New Roman" w:hAnsi="Times New Roman" w:cs="Times New Roman"/>
        </w:rPr>
        <w:t xml:space="preserve"> head</w:t>
      </w:r>
    </w:p>
    <w:p w14:paraId="53570C49" w14:textId="5260688E" w:rsidR="008F39B4" w:rsidRPr="002829FD" w:rsidRDefault="008F39B4" w:rsidP="008F39B4">
      <w:pPr>
        <w:pStyle w:val="ListParagraph"/>
        <w:numPr>
          <w:ilvl w:val="1"/>
          <w:numId w:val="3"/>
        </w:numPr>
        <w:rPr>
          <w:rFonts w:ascii="Times New Roman" w:hAnsi="Times New Roman" w:cs="Times New Roman"/>
        </w:rPr>
      </w:pPr>
      <w:r w:rsidRPr="002829FD">
        <w:rPr>
          <w:rFonts w:ascii="Times New Roman" w:hAnsi="Times New Roman" w:cs="Times New Roman"/>
        </w:rPr>
        <w:t>Mid-scale (25</w:t>
      </w:r>
      <w:r w:rsidRPr="002829FD">
        <w:rPr>
          <w:rFonts w:ascii="Times New Roman" w:hAnsi="Times New Roman" w:cs="Times New Roman"/>
          <w:vertAlign w:val="superscript"/>
        </w:rPr>
        <w:t>th</w:t>
      </w:r>
      <w:r w:rsidRPr="002829FD">
        <w:rPr>
          <w:rFonts w:ascii="Times New Roman" w:hAnsi="Times New Roman" w:cs="Times New Roman"/>
        </w:rPr>
        <w:t xml:space="preserve"> to 75</w:t>
      </w:r>
      <w:r w:rsidRPr="002829FD">
        <w:rPr>
          <w:rFonts w:ascii="Times New Roman" w:hAnsi="Times New Roman" w:cs="Times New Roman"/>
          <w:vertAlign w:val="superscript"/>
        </w:rPr>
        <w:t>th</w:t>
      </w:r>
      <w:r w:rsidRPr="002829FD">
        <w:rPr>
          <w:rFonts w:ascii="Times New Roman" w:hAnsi="Times New Roman" w:cs="Times New Roman"/>
        </w:rPr>
        <w:t xml:space="preserve"> quantile): </w:t>
      </w:r>
      <w:r>
        <w:rPr>
          <w:rFonts w:ascii="Times New Roman" w:hAnsi="Times New Roman" w:cs="Times New Roman"/>
        </w:rPr>
        <w:t>2</w:t>
      </w:r>
      <w:r w:rsidRPr="002829FD">
        <w:rPr>
          <w:rFonts w:ascii="Times New Roman" w:hAnsi="Times New Roman" w:cs="Times New Roman"/>
        </w:rPr>
        <w:t xml:space="preserve"> to </w:t>
      </w:r>
      <w:r>
        <w:rPr>
          <w:rFonts w:ascii="Times New Roman" w:hAnsi="Times New Roman" w:cs="Times New Roman"/>
        </w:rPr>
        <w:t>8</w:t>
      </w:r>
      <w:r w:rsidRPr="002829FD">
        <w:rPr>
          <w:rFonts w:ascii="Times New Roman" w:hAnsi="Times New Roman" w:cs="Times New Roman"/>
        </w:rPr>
        <w:t xml:space="preserve"> head</w:t>
      </w:r>
    </w:p>
    <w:p w14:paraId="31FAEF1B" w14:textId="4CA93D5D" w:rsidR="008F39B4" w:rsidRPr="00036200" w:rsidRDefault="008F39B4" w:rsidP="00036200">
      <w:pPr>
        <w:pStyle w:val="ListParagraph"/>
        <w:numPr>
          <w:ilvl w:val="1"/>
          <w:numId w:val="3"/>
        </w:numPr>
        <w:rPr>
          <w:rFonts w:ascii="Times New Roman" w:hAnsi="Times New Roman" w:cs="Times New Roman"/>
        </w:rPr>
      </w:pPr>
      <w:r w:rsidRPr="002829FD">
        <w:rPr>
          <w:rFonts w:ascii="Times New Roman" w:hAnsi="Times New Roman" w:cs="Times New Roman"/>
        </w:rPr>
        <w:t>Large scale (76</w:t>
      </w:r>
      <w:r w:rsidRPr="002829FD">
        <w:rPr>
          <w:rFonts w:ascii="Times New Roman" w:hAnsi="Times New Roman" w:cs="Times New Roman"/>
          <w:vertAlign w:val="superscript"/>
        </w:rPr>
        <w:t>th</w:t>
      </w:r>
      <w:r w:rsidRPr="002829FD">
        <w:rPr>
          <w:rFonts w:ascii="Times New Roman" w:hAnsi="Times New Roman" w:cs="Times New Roman"/>
        </w:rPr>
        <w:t xml:space="preserve"> to 9</w:t>
      </w:r>
      <w:r w:rsidR="002C0F2F">
        <w:rPr>
          <w:rFonts w:ascii="Times New Roman" w:hAnsi="Times New Roman" w:cs="Times New Roman"/>
        </w:rPr>
        <w:t>5</w:t>
      </w:r>
      <w:r w:rsidRPr="002829FD">
        <w:rPr>
          <w:rFonts w:ascii="Times New Roman" w:hAnsi="Times New Roman" w:cs="Times New Roman"/>
          <w:vertAlign w:val="superscript"/>
        </w:rPr>
        <w:t>th</w:t>
      </w:r>
      <w:r w:rsidRPr="002829FD">
        <w:rPr>
          <w:rFonts w:ascii="Times New Roman" w:hAnsi="Times New Roman" w:cs="Times New Roman"/>
        </w:rPr>
        <w:t xml:space="preserve"> quantile): </w:t>
      </w:r>
      <w:r>
        <w:rPr>
          <w:rFonts w:ascii="Times New Roman" w:hAnsi="Times New Roman" w:cs="Times New Roman"/>
        </w:rPr>
        <w:t>9</w:t>
      </w:r>
      <w:r w:rsidRPr="002829FD">
        <w:rPr>
          <w:rFonts w:ascii="Times New Roman" w:hAnsi="Times New Roman" w:cs="Times New Roman"/>
        </w:rPr>
        <w:t xml:space="preserve"> to </w:t>
      </w:r>
      <w:r>
        <w:rPr>
          <w:rFonts w:ascii="Times New Roman" w:hAnsi="Times New Roman" w:cs="Times New Roman"/>
        </w:rPr>
        <w:t>30</w:t>
      </w:r>
      <w:r w:rsidRPr="002829FD">
        <w:rPr>
          <w:rFonts w:ascii="Times New Roman" w:hAnsi="Times New Roman" w:cs="Times New Roman"/>
        </w:rPr>
        <w:t xml:space="preserve"> head</w:t>
      </w:r>
    </w:p>
    <w:p w14:paraId="5E6B1177" w14:textId="4BB80F93" w:rsidR="00F7037B" w:rsidRDefault="00F7037B" w:rsidP="00F7037B">
      <w:pPr>
        <w:pStyle w:val="ListParagraph"/>
        <w:numPr>
          <w:ilvl w:val="0"/>
          <w:numId w:val="3"/>
        </w:numPr>
        <w:rPr>
          <w:rFonts w:ascii="Times New Roman" w:hAnsi="Times New Roman" w:cs="Times New Roman"/>
        </w:rPr>
      </w:pPr>
      <w:r>
        <w:rPr>
          <w:rFonts w:ascii="Times New Roman" w:hAnsi="Times New Roman" w:cs="Times New Roman"/>
        </w:rPr>
        <w:t xml:space="preserve">Hogs and pigs: </w:t>
      </w:r>
      <w:r w:rsidR="00036200" w:rsidRPr="00EF6794">
        <w:rPr>
          <w:rFonts w:ascii="Times New Roman" w:hAnsi="Times New Roman" w:cs="Times New Roman"/>
        </w:rPr>
        <w:t>Number of hogs and pigs sold or moved from this operation during 2017,</w:t>
      </w:r>
      <w:r w:rsidR="00036200" w:rsidRPr="00EF6794">
        <w:rPr>
          <w:rFonts w:ascii="Times New Roman" w:hAnsi="Times New Roman" w:cs="Times New Roman"/>
        </w:rPr>
        <w:br/>
      </w:r>
      <w:r w:rsidR="00036200" w:rsidRPr="002829FD">
        <w:rPr>
          <w:rFonts w:ascii="Times New Roman" w:hAnsi="Times New Roman" w:cs="Times New Roman"/>
        </w:rPr>
        <w:t>including feeder pigs</w:t>
      </w:r>
      <w:r w:rsidR="00036200">
        <w:rPr>
          <w:rFonts w:ascii="Times New Roman" w:hAnsi="Times New Roman" w:cs="Times New Roman"/>
        </w:rPr>
        <w:t xml:space="preserve">, </w:t>
      </w:r>
      <w:r>
        <w:rPr>
          <w:rFonts w:ascii="Times New Roman" w:hAnsi="Times New Roman" w:cs="Times New Roman"/>
        </w:rPr>
        <w:t xml:space="preserve">local </w:t>
      </w:r>
      <w:proofErr w:type="gramStart"/>
      <w:r>
        <w:rPr>
          <w:rFonts w:ascii="Times New Roman" w:hAnsi="Times New Roman" w:cs="Times New Roman"/>
        </w:rPr>
        <w:t>only</w:t>
      </w:r>
      <w:proofErr w:type="gramEnd"/>
    </w:p>
    <w:p w14:paraId="750068FD" w14:textId="568F5296" w:rsidR="00F7037B" w:rsidRPr="002829FD" w:rsidRDefault="00F7037B" w:rsidP="00F7037B">
      <w:pPr>
        <w:pStyle w:val="ListParagraph"/>
        <w:numPr>
          <w:ilvl w:val="1"/>
          <w:numId w:val="3"/>
        </w:numPr>
        <w:rPr>
          <w:rFonts w:ascii="Times New Roman" w:hAnsi="Times New Roman" w:cs="Times New Roman"/>
        </w:rPr>
      </w:pPr>
      <w:r w:rsidRPr="002829FD">
        <w:rPr>
          <w:rFonts w:ascii="Times New Roman" w:hAnsi="Times New Roman" w:cs="Times New Roman"/>
        </w:rPr>
        <w:t>Small scale (&lt;25</w:t>
      </w:r>
      <w:r w:rsidRPr="002829FD">
        <w:rPr>
          <w:rFonts w:ascii="Times New Roman" w:hAnsi="Times New Roman" w:cs="Times New Roman"/>
          <w:vertAlign w:val="superscript"/>
        </w:rPr>
        <w:t>th</w:t>
      </w:r>
      <w:r w:rsidRPr="002829FD">
        <w:rPr>
          <w:rFonts w:ascii="Times New Roman" w:hAnsi="Times New Roman" w:cs="Times New Roman"/>
        </w:rPr>
        <w:t xml:space="preserve"> quantile): &lt;</w:t>
      </w:r>
      <w:r>
        <w:rPr>
          <w:rFonts w:ascii="Times New Roman" w:hAnsi="Times New Roman" w:cs="Times New Roman"/>
        </w:rPr>
        <w:t>6</w:t>
      </w:r>
      <w:r w:rsidRPr="002829FD">
        <w:rPr>
          <w:rFonts w:ascii="Times New Roman" w:hAnsi="Times New Roman" w:cs="Times New Roman"/>
        </w:rPr>
        <w:t xml:space="preserve"> head</w:t>
      </w:r>
    </w:p>
    <w:p w14:paraId="2BC89976" w14:textId="3AE9C35A" w:rsidR="00F7037B" w:rsidRPr="002829FD" w:rsidRDefault="00F7037B" w:rsidP="00F7037B">
      <w:pPr>
        <w:pStyle w:val="ListParagraph"/>
        <w:numPr>
          <w:ilvl w:val="1"/>
          <w:numId w:val="3"/>
        </w:numPr>
        <w:rPr>
          <w:rFonts w:ascii="Times New Roman" w:hAnsi="Times New Roman" w:cs="Times New Roman"/>
        </w:rPr>
      </w:pPr>
      <w:r w:rsidRPr="002829FD">
        <w:rPr>
          <w:rFonts w:ascii="Times New Roman" w:hAnsi="Times New Roman" w:cs="Times New Roman"/>
        </w:rPr>
        <w:t>Mid-scale (25</w:t>
      </w:r>
      <w:r w:rsidRPr="002829FD">
        <w:rPr>
          <w:rFonts w:ascii="Times New Roman" w:hAnsi="Times New Roman" w:cs="Times New Roman"/>
          <w:vertAlign w:val="superscript"/>
        </w:rPr>
        <w:t>th</w:t>
      </w:r>
      <w:r w:rsidRPr="002829FD">
        <w:rPr>
          <w:rFonts w:ascii="Times New Roman" w:hAnsi="Times New Roman" w:cs="Times New Roman"/>
        </w:rPr>
        <w:t xml:space="preserve"> to 75</w:t>
      </w:r>
      <w:r w:rsidRPr="002829FD">
        <w:rPr>
          <w:rFonts w:ascii="Times New Roman" w:hAnsi="Times New Roman" w:cs="Times New Roman"/>
          <w:vertAlign w:val="superscript"/>
        </w:rPr>
        <w:t>th</w:t>
      </w:r>
      <w:r w:rsidRPr="002829FD">
        <w:rPr>
          <w:rFonts w:ascii="Times New Roman" w:hAnsi="Times New Roman" w:cs="Times New Roman"/>
        </w:rPr>
        <w:t xml:space="preserve"> quantile): </w:t>
      </w:r>
      <w:r>
        <w:rPr>
          <w:rFonts w:ascii="Times New Roman" w:hAnsi="Times New Roman" w:cs="Times New Roman"/>
        </w:rPr>
        <w:t>6</w:t>
      </w:r>
      <w:r w:rsidRPr="002829FD">
        <w:rPr>
          <w:rFonts w:ascii="Times New Roman" w:hAnsi="Times New Roman" w:cs="Times New Roman"/>
        </w:rPr>
        <w:t xml:space="preserve"> to </w:t>
      </w:r>
      <w:r>
        <w:rPr>
          <w:rFonts w:ascii="Times New Roman" w:hAnsi="Times New Roman" w:cs="Times New Roman"/>
        </w:rPr>
        <w:t>27</w:t>
      </w:r>
      <w:r w:rsidRPr="002829FD">
        <w:rPr>
          <w:rFonts w:ascii="Times New Roman" w:hAnsi="Times New Roman" w:cs="Times New Roman"/>
        </w:rPr>
        <w:t xml:space="preserve"> head</w:t>
      </w:r>
    </w:p>
    <w:p w14:paraId="7AD3084E" w14:textId="22B1FF12" w:rsidR="00F7037B" w:rsidRPr="00036200" w:rsidRDefault="00F7037B" w:rsidP="00036200">
      <w:pPr>
        <w:pStyle w:val="ListParagraph"/>
        <w:numPr>
          <w:ilvl w:val="1"/>
          <w:numId w:val="3"/>
        </w:numPr>
        <w:rPr>
          <w:rFonts w:ascii="Times New Roman" w:hAnsi="Times New Roman" w:cs="Times New Roman"/>
        </w:rPr>
      </w:pPr>
      <w:r w:rsidRPr="002829FD">
        <w:rPr>
          <w:rFonts w:ascii="Times New Roman" w:hAnsi="Times New Roman" w:cs="Times New Roman"/>
        </w:rPr>
        <w:t>Large scale (76</w:t>
      </w:r>
      <w:r w:rsidRPr="002829FD">
        <w:rPr>
          <w:rFonts w:ascii="Times New Roman" w:hAnsi="Times New Roman" w:cs="Times New Roman"/>
          <w:vertAlign w:val="superscript"/>
        </w:rPr>
        <w:t>th</w:t>
      </w:r>
      <w:r w:rsidRPr="002829FD">
        <w:rPr>
          <w:rFonts w:ascii="Times New Roman" w:hAnsi="Times New Roman" w:cs="Times New Roman"/>
        </w:rPr>
        <w:t xml:space="preserve"> to 9</w:t>
      </w:r>
      <w:r w:rsidR="002C0F2F">
        <w:rPr>
          <w:rFonts w:ascii="Times New Roman" w:hAnsi="Times New Roman" w:cs="Times New Roman"/>
        </w:rPr>
        <w:t>5</w:t>
      </w:r>
      <w:r w:rsidRPr="002829FD">
        <w:rPr>
          <w:rFonts w:ascii="Times New Roman" w:hAnsi="Times New Roman" w:cs="Times New Roman"/>
          <w:vertAlign w:val="superscript"/>
        </w:rPr>
        <w:t>th</w:t>
      </w:r>
      <w:r w:rsidRPr="002829FD">
        <w:rPr>
          <w:rFonts w:ascii="Times New Roman" w:hAnsi="Times New Roman" w:cs="Times New Roman"/>
        </w:rPr>
        <w:t xml:space="preserve"> quantile): </w:t>
      </w:r>
      <w:r>
        <w:rPr>
          <w:rFonts w:ascii="Times New Roman" w:hAnsi="Times New Roman" w:cs="Times New Roman"/>
        </w:rPr>
        <w:t>28</w:t>
      </w:r>
      <w:r w:rsidRPr="002829FD">
        <w:rPr>
          <w:rFonts w:ascii="Times New Roman" w:hAnsi="Times New Roman" w:cs="Times New Roman"/>
        </w:rPr>
        <w:t xml:space="preserve"> to </w:t>
      </w:r>
      <w:r>
        <w:rPr>
          <w:rFonts w:ascii="Times New Roman" w:hAnsi="Times New Roman" w:cs="Times New Roman"/>
        </w:rPr>
        <w:t>200</w:t>
      </w:r>
      <w:r w:rsidRPr="002829FD">
        <w:rPr>
          <w:rFonts w:ascii="Times New Roman" w:hAnsi="Times New Roman" w:cs="Times New Roman"/>
        </w:rPr>
        <w:t xml:space="preserve"> head</w:t>
      </w:r>
    </w:p>
    <w:p w14:paraId="6E109D00" w14:textId="1E589C60" w:rsidR="005D7E44" w:rsidRPr="002829FD" w:rsidRDefault="005D7E44" w:rsidP="005D7E44">
      <w:pPr>
        <w:pStyle w:val="ListParagraph"/>
        <w:numPr>
          <w:ilvl w:val="0"/>
          <w:numId w:val="3"/>
        </w:numPr>
        <w:rPr>
          <w:rFonts w:ascii="Times New Roman" w:hAnsi="Times New Roman" w:cs="Times New Roman"/>
        </w:rPr>
      </w:pPr>
      <w:r w:rsidRPr="00EF6794">
        <w:rPr>
          <w:rFonts w:ascii="Times New Roman" w:hAnsi="Times New Roman" w:cs="Times New Roman"/>
        </w:rPr>
        <w:t>Sheep, lamb and meat goats: Number of sheep, lamb, and meat goats sold or moved</w:t>
      </w:r>
      <w:r w:rsidRPr="002829FD">
        <w:rPr>
          <w:rFonts w:ascii="Times New Roman" w:hAnsi="Times New Roman" w:cs="Times New Roman"/>
        </w:rPr>
        <w:t xml:space="preserve"> from this operation during 2017</w:t>
      </w:r>
      <w:r>
        <w:rPr>
          <w:rFonts w:ascii="Times New Roman" w:hAnsi="Times New Roman" w:cs="Times New Roman"/>
        </w:rPr>
        <w:t xml:space="preserve">, local </w:t>
      </w:r>
      <w:proofErr w:type="gramStart"/>
      <w:r>
        <w:rPr>
          <w:rFonts w:ascii="Times New Roman" w:hAnsi="Times New Roman" w:cs="Times New Roman"/>
        </w:rPr>
        <w:t>only</w:t>
      </w:r>
      <w:proofErr w:type="gramEnd"/>
    </w:p>
    <w:p w14:paraId="0E63EB76" w14:textId="77777777" w:rsidR="005D7E44" w:rsidRPr="002829FD" w:rsidRDefault="005D7E44" w:rsidP="005D7E44">
      <w:pPr>
        <w:pStyle w:val="ListParagraph"/>
        <w:numPr>
          <w:ilvl w:val="1"/>
          <w:numId w:val="3"/>
        </w:numPr>
        <w:rPr>
          <w:rFonts w:ascii="Times New Roman" w:hAnsi="Times New Roman" w:cs="Times New Roman"/>
        </w:rPr>
      </w:pPr>
      <w:r w:rsidRPr="002829FD">
        <w:rPr>
          <w:rFonts w:ascii="Times New Roman" w:hAnsi="Times New Roman" w:cs="Times New Roman"/>
        </w:rPr>
        <w:t>Small scale (&lt;25</w:t>
      </w:r>
      <w:r w:rsidRPr="002829FD">
        <w:rPr>
          <w:rFonts w:ascii="Times New Roman" w:hAnsi="Times New Roman" w:cs="Times New Roman"/>
          <w:vertAlign w:val="superscript"/>
        </w:rPr>
        <w:t>th</w:t>
      </w:r>
      <w:r w:rsidRPr="002829FD">
        <w:rPr>
          <w:rFonts w:ascii="Times New Roman" w:hAnsi="Times New Roman" w:cs="Times New Roman"/>
        </w:rPr>
        <w:t xml:space="preserve"> quantile): &lt;10 head</w:t>
      </w:r>
    </w:p>
    <w:p w14:paraId="2A4CB50E" w14:textId="5A0D95AB" w:rsidR="005D7E44" w:rsidRPr="002829FD" w:rsidRDefault="005D7E44" w:rsidP="005D7E44">
      <w:pPr>
        <w:pStyle w:val="ListParagraph"/>
        <w:numPr>
          <w:ilvl w:val="1"/>
          <w:numId w:val="3"/>
        </w:numPr>
        <w:rPr>
          <w:rFonts w:ascii="Times New Roman" w:hAnsi="Times New Roman" w:cs="Times New Roman"/>
        </w:rPr>
      </w:pPr>
      <w:r w:rsidRPr="002829FD">
        <w:rPr>
          <w:rFonts w:ascii="Times New Roman" w:hAnsi="Times New Roman" w:cs="Times New Roman"/>
        </w:rPr>
        <w:lastRenderedPageBreak/>
        <w:t>Mid-scale (25</w:t>
      </w:r>
      <w:r w:rsidRPr="002829FD">
        <w:rPr>
          <w:rFonts w:ascii="Times New Roman" w:hAnsi="Times New Roman" w:cs="Times New Roman"/>
          <w:vertAlign w:val="superscript"/>
        </w:rPr>
        <w:t>th</w:t>
      </w:r>
      <w:r w:rsidRPr="002829FD">
        <w:rPr>
          <w:rFonts w:ascii="Times New Roman" w:hAnsi="Times New Roman" w:cs="Times New Roman"/>
        </w:rPr>
        <w:t xml:space="preserve"> to 75</w:t>
      </w:r>
      <w:r w:rsidRPr="002829FD">
        <w:rPr>
          <w:rFonts w:ascii="Times New Roman" w:hAnsi="Times New Roman" w:cs="Times New Roman"/>
          <w:vertAlign w:val="superscript"/>
        </w:rPr>
        <w:t>th</w:t>
      </w:r>
      <w:r w:rsidRPr="002829FD">
        <w:rPr>
          <w:rFonts w:ascii="Times New Roman" w:hAnsi="Times New Roman" w:cs="Times New Roman"/>
        </w:rPr>
        <w:t xml:space="preserve"> quantile): 10 to </w:t>
      </w:r>
      <w:r>
        <w:rPr>
          <w:rFonts w:ascii="Times New Roman" w:hAnsi="Times New Roman" w:cs="Times New Roman"/>
        </w:rPr>
        <w:t>23</w:t>
      </w:r>
      <w:r w:rsidRPr="002829FD">
        <w:rPr>
          <w:rFonts w:ascii="Times New Roman" w:hAnsi="Times New Roman" w:cs="Times New Roman"/>
        </w:rPr>
        <w:t xml:space="preserve"> head</w:t>
      </w:r>
    </w:p>
    <w:p w14:paraId="0B15B99A" w14:textId="36248DD9" w:rsidR="005D7E44" w:rsidRPr="00036200" w:rsidRDefault="005D7E44" w:rsidP="00036200">
      <w:pPr>
        <w:pStyle w:val="ListParagraph"/>
        <w:numPr>
          <w:ilvl w:val="1"/>
          <w:numId w:val="3"/>
        </w:numPr>
        <w:rPr>
          <w:rFonts w:ascii="Times New Roman" w:hAnsi="Times New Roman" w:cs="Times New Roman"/>
        </w:rPr>
      </w:pPr>
      <w:r w:rsidRPr="002829FD">
        <w:rPr>
          <w:rFonts w:ascii="Times New Roman" w:hAnsi="Times New Roman" w:cs="Times New Roman"/>
        </w:rPr>
        <w:t>Large scale (76</w:t>
      </w:r>
      <w:r w:rsidRPr="002829FD">
        <w:rPr>
          <w:rFonts w:ascii="Times New Roman" w:hAnsi="Times New Roman" w:cs="Times New Roman"/>
          <w:vertAlign w:val="superscript"/>
        </w:rPr>
        <w:t>th</w:t>
      </w:r>
      <w:r w:rsidRPr="002829FD">
        <w:rPr>
          <w:rFonts w:ascii="Times New Roman" w:hAnsi="Times New Roman" w:cs="Times New Roman"/>
        </w:rPr>
        <w:t xml:space="preserve"> to 9</w:t>
      </w:r>
      <w:r w:rsidR="002C0F2F">
        <w:rPr>
          <w:rFonts w:ascii="Times New Roman" w:hAnsi="Times New Roman" w:cs="Times New Roman"/>
        </w:rPr>
        <w:t>5</w:t>
      </w:r>
      <w:r w:rsidRPr="002829FD">
        <w:rPr>
          <w:rFonts w:ascii="Times New Roman" w:hAnsi="Times New Roman" w:cs="Times New Roman"/>
          <w:vertAlign w:val="superscript"/>
        </w:rPr>
        <w:t>th</w:t>
      </w:r>
      <w:r w:rsidRPr="002829FD">
        <w:rPr>
          <w:rFonts w:ascii="Times New Roman" w:hAnsi="Times New Roman" w:cs="Times New Roman"/>
        </w:rPr>
        <w:t xml:space="preserve"> quantile): </w:t>
      </w:r>
      <w:r>
        <w:rPr>
          <w:rFonts w:ascii="Times New Roman" w:hAnsi="Times New Roman" w:cs="Times New Roman"/>
        </w:rPr>
        <w:t>24</w:t>
      </w:r>
      <w:r w:rsidRPr="002829FD">
        <w:rPr>
          <w:rFonts w:ascii="Times New Roman" w:hAnsi="Times New Roman" w:cs="Times New Roman"/>
        </w:rPr>
        <w:t xml:space="preserve"> to </w:t>
      </w:r>
      <w:r>
        <w:rPr>
          <w:rFonts w:ascii="Times New Roman" w:hAnsi="Times New Roman" w:cs="Times New Roman"/>
        </w:rPr>
        <w:t>62</w:t>
      </w:r>
      <w:r w:rsidRPr="002829FD">
        <w:rPr>
          <w:rFonts w:ascii="Times New Roman" w:hAnsi="Times New Roman" w:cs="Times New Roman"/>
        </w:rPr>
        <w:t xml:space="preserve"> head</w:t>
      </w:r>
    </w:p>
    <w:p w14:paraId="4341A7AF" w14:textId="48CABF89" w:rsidR="0043216A" w:rsidRPr="002829FD" w:rsidRDefault="0043216A" w:rsidP="003B032D">
      <w:pPr>
        <w:rPr>
          <w:rFonts w:ascii="Times New Roman" w:hAnsi="Times New Roman" w:cs="Times New Roman"/>
        </w:rPr>
      </w:pPr>
    </w:p>
    <w:p w14:paraId="30015689" w14:textId="12BC077B" w:rsidR="00BE0B9E" w:rsidRPr="002829FD" w:rsidRDefault="00BD7FB2" w:rsidP="00BE0B9E">
      <w:pPr>
        <w:rPr>
          <w:rFonts w:ascii="Times New Roman" w:hAnsi="Times New Roman" w:cs="Times New Roman"/>
        </w:rPr>
      </w:pPr>
      <w:r w:rsidRPr="002829FD">
        <w:rPr>
          <w:rFonts w:ascii="Times New Roman" w:hAnsi="Times New Roman" w:cs="Times New Roman"/>
        </w:rPr>
        <w:t xml:space="preserve">Our sample consists of only those producers </w:t>
      </w:r>
      <w:r w:rsidR="00BE0B9E" w:rsidRPr="002829FD">
        <w:rPr>
          <w:rFonts w:ascii="Times New Roman" w:hAnsi="Times New Roman" w:cs="Times New Roman"/>
        </w:rPr>
        <w:t xml:space="preserve">selling </w:t>
      </w:r>
      <w:r w:rsidR="0040695C" w:rsidRPr="002829FD">
        <w:rPr>
          <w:rFonts w:ascii="Times New Roman" w:hAnsi="Times New Roman" w:cs="Times New Roman"/>
        </w:rPr>
        <w:t xml:space="preserve">exclusively </w:t>
      </w:r>
      <w:r w:rsidR="00BE0B9E" w:rsidRPr="002829FD">
        <w:rPr>
          <w:rFonts w:ascii="Times New Roman" w:hAnsi="Times New Roman" w:cs="Times New Roman"/>
        </w:rPr>
        <w:t>through</w:t>
      </w:r>
      <w:r w:rsidR="001634F2" w:rsidRPr="002829FD">
        <w:rPr>
          <w:rFonts w:ascii="Times New Roman" w:hAnsi="Times New Roman" w:cs="Times New Roman"/>
        </w:rPr>
        <w:t xml:space="preserve"> </w:t>
      </w:r>
      <w:r w:rsidR="00BE0B9E" w:rsidRPr="002829FD">
        <w:rPr>
          <w:rFonts w:ascii="Times New Roman" w:hAnsi="Times New Roman" w:cs="Times New Roman"/>
        </w:rPr>
        <w:t>local food market channels</w:t>
      </w:r>
      <w:r w:rsidR="0040695C" w:rsidRPr="002829FD">
        <w:rPr>
          <w:rFonts w:ascii="Times New Roman" w:hAnsi="Times New Roman" w:cs="Times New Roman"/>
        </w:rPr>
        <w:t xml:space="preserve"> (i.e., they do not sell through both local and commodity market channels)</w:t>
      </w:r>
      <w:r w:rsidRPr="002829FD">
        <w:rPr>
          <w:rFonts w:ascii="Times New Roman" w:hAnsi="Times New Roman" w:cs="Times New Roman"/>
        </w:rPr>
        <w:t xml:space="preserve">. </w:t>
      </w:r>
      <w:r w:rsidR="005D0778" w:rsidRPr="002829FD">
        <w:rPr>
          <w:rFonts w:ascii="Times New Roman" w:hAnsi="Times New Roman" w:cs="Times New Roman"/>
        </w:rPr>
        <w:t xml:space="preserve">Local food market channels include both direct-to-consumer market channels (i.e., </w:t>
      </w:r>
      <w:r w:rsidR="00BE0B9E" w:rsidRPr="002829FD">
        <w:rPr>
          <w:rFonts w:ascii="Times New Roman" w:hAnsi="Times New Roman" w:cs="Times New Roman"/>
        </w:rPr>
        <w:t xml:space="preserve">farmers market, on-farm stores or farm stands, roadside stands or stores, u-pick, CSA, </w:t>
      </w:r>
      <w:r w:rsidR="005D0778" w:rsidRPr="002829FD">
        <w:rPr>
          <w:rFonts w:ascii="Times New Roman" w:hAnsi="Times New Roman" w:cs="Times New Roman"/>
        </w:rPr>
        <w:t xml:space="preserve">and </w:t>
      </w:r>
      <w:r w:rsidR="00BE0B9E" w:rsidRPr="002829FD">
        <w:rPr>
          <w:rFonts w:ascii="Times New Roman" w:hAnsi="Times New Roman" w:cs="Times New Roman"/>
        </w:rPr>
        <w:t>online marketplaces</w:t>
      </w:r>
      <w:r w:rsidR="005D0778" w:rsidRPr="002829FD">
        <w:rPr>
          <w:rFonts w:ascii="Times New Roman" w:hAnsi="Times New Roman" w:cs="Times New Roman"/>
        </w:rPr>
        <w:t xml:space="preserve">) and intermediated market channels (i.e., </w:t>
      </w:r>
      <w:r w:rsidR="00BE0B9E" w:rsidRPr="002829FD">
        <w:rPr>
          <w:rFonts w:ascii="Times New Roman" w:hAnsi="Times New Roman" w:cs="Times New Roman"/>
        </w:rPr>
        <w:t>supermarkets, supercenters, restaurants, caterers, independently owned grocery stores, food cooperatives, K-12 schools, colleges or universities, hospitals, workplace cafeterias, prisons, and food</w:t>
      </w:r>
      <w:r w:rsidR="00CD7DDE" w:rsidRPr="002829FD">
        <w:rPr>
          <w:rFonts w:ascii="Times New Roman" w:hAnsi="Times New Roman" w:cs="Times New Roman"/>
        </w:rPr>
        <w:t xml:space="preserve"> </w:t>
      </w:r>
      <w:r w:rsidR="00BE0B9E" w:rsidRPr="002829FD">
        <w:rPr>
          <w:rFonts w:ascii="Times New Roman" w:hAnsi="Times New Roman" w:cs="Times New Roman"/>
        </w:rPr>
        <w:t>banks</w:t>
      </w:r>
      <w:r w:rsidR="005D0778" w:rsidRPr="002829FD">
        <w:rPr>
          <w:rFonts w:ascii="Times New Roman" w:hAnsi="Times New Roman" w:cs="Times New Roman"/>
        </w:rPr>
        <w:t>)</w:t>
      </w:r>
      <w:r w:rsidR="00BE0B9E" w:rsidRPr="002829FD">
        <w:rPr>
          <w:rFonts w:ascii="Times New Roman" w:hAnsi="Times New Roman" w:cs="Times New Roman"/>
        </w:rPr>
        <w:t>.</w:t>
      </w:r>
      <w:r w:rsidR="00F603E4">
        <w:rPr>
          <w:rFonts w:ascii="Times New Roman" w:hAnsi="Times New Roman" w:cs="Times New Roman"/>
        </w:rPr>
        <w:t xml:space="preserve"> </w:t>
      </w:r>
      <w:r w:rsidR="005D0778" w:rsidRPr="002829FD">
        <w:rPr>
          <w:rFonts w:ascii="Times New Roman" w:hAnsi="Times New Roman" w:cs="Times New Roman"/>
        </w:rPr>
        <w:t>Due to sample size issues, we do not disaggregate direct-to-consumer and intermediated within our local food market channel category</w:t>
      </w:r>
      <w:r w:rsidR="003D1CF1" w:rsidRPr="002829FD">
        <w:rPr>
          <w:rFonts w:ascii="Times New Roman" w:hAnsi="Times New Roman" w:cs="Times New Roman"/>
        </w:rPr>
        <w:t xml:space="preserve">. </w:t>
      </w:r>
    </w:p>
    <w:p w14:paraId="0DC189F3" w14:textId="6DE2CEB5" w:rsidR="00BE0B9E" w:rsidRPr="002829FD" w:rsidRDefault="00BE0B9E" w:rsidP="00BE0B9E">
      <w:pPr>
        <w:rPr>
          <w:rFonts w:ascii="Times New Roman" w:hAnsi="Times New Roman" w:cs="Times New Roman"/>
        </w:rPr>
      </w:pPr>
    </w:p>
    <w:p w14:paraId="67B8A216" w14:textId="6C6D902B" w:rsidR="00635321" w:rsidRPr="002829FD" w:rsidRDefault="002B63CF" w:rsidP="00635321">
      <w:pPr>
        <w:rPr>
          <w:rFonts w:ascii="Times New Roman" w:hAnsi="Times New Roman" w:cs="Times New Roman"/>
        </w:rPr>
      </w:pPr>
      <w:r w:rsidRPr="002829FD">
        <w:rPr>
          <w:rFonts w:ascii="Times New Roman" w:hAnsi="Times New Roman" w:cs="Times New Roman"/>
        </w:rPr>
        <w:t xml:space="preserve">All estimates </w:t>
      </w:r>
      <w:r w:rsidR="00F603E4">
        <w:rPr>
          <w:rFonts w:ascii="Times New Roman" w:hAnsi="Times New Roman" w:cs="Times New Roman"/>
        </w:rPr>
        <w:t>are</w:t>
      </w:r>
      <w:r w:rsidRPr="002829FD">
        <w:rPr>
          <w:rFonts w:ascii="Times New Roman" w:hAnsi="Times New Roman" w:cs="Times New Roman"/>
        </w:rPr>
        <w:t xml:space="preserve"> broken out by regio</w:t>
      </w:r>
      <w:r w:rsidR="00E142A0" w:rsidRPr="002829FD">
        <w:rPr>
          <w:rFonts w:ascii="Times New Roman" w:hAnsi="Times New Roman" w:cs="Times New Roman"/>
        </w:rPr>
        <w:t>n</w:t>
      </w:r>
      <w:r w:rsidR="00EF6794">
        <w:rPr>
          <w:rStyle w:val="FootnoteReference"/>
          <w:rFonts w:ascii="Times New Roman" w:hAnsi="Times New Roman" w:cs="Times New Roman"/>
        </w:rPr>
        <w:footnoteReference w:id="2"/>
      </w:r>
      <w:r w:rsidR="007800C8">
        <w:rPr>
          <w:rFonts w:ascii="Times New Roman" w:hAnsi="Times New Roman" w:cs="Times New Roman"/>
        </w:rPr>
        <w:t xml:space="preserve"> as well as provided nationally</w:t>
      </w:r>
      <w:r w:rsidRPr="002829FD">
        <w:rPr>
          <w:rFonts w:ascii="Times New Roman" w:hAnsi="Times New Roman" w:cs="Times New Roman"/>
        </w:rPr>
        <w:t xml:space="preserve">. Regions </w:t>
      </w:r>
      <w:r w:rsidR="00F603E4">
        <w:rPr>
          <w:rFonts w:ascii="Times New Roman" w:hAnsi="Times New Roman" w:cs="Times New Roman"/>
        </w:rPr>
        <w:t>are based</w:t>
      </w:r>
      <w:r w:rsidRPr="002829FD">
        <w:rPr>
          <w:rFonts w:ascii="Times New Roman" w:hAnsi="Times New Roman" w:cs="Times New Roman"/>
        </w:rPr>
        <w:t xml:space="preserve"> the census regions but with the west disaggregated into census divisions</w:t>
      </w:r>
      <w:r w:rsidR="00F603E4">
        <w:rPr>
          <w:rFonts w:ascii="Times New Roman" w:hAnsi="Times New Roman" w:cs="Times New Roman"/>
        </w:rPr>
        <w:t>. R</w:t>
      </w:r>
      <w:r w:rsidRPr="002829FD">
        <w:rPr>
          <w:rFonts w:ascii="Times New Roman" w:hAnsi="Times New Roman" w:cs="Times New Roman"/>
        </w:rPr>
        <w:t>egions include Pacific</w:t>
      </w:r>
      <w:r w:rsidR="0005582D">
        <w:rPr>
          <w:rFonts w:ascii="Times New Roman" w:hAnsi="Times New Roman" w:cs="Times New Roman"/>
        </w:rPr>
        <w:t xml:space="preserve"> (WA, OR, CA)</w:t>
      </w:r>
      <w:r w:rsidRPr="002829FD">
        <w:rPr>
          <w:rFonts w:ascii="Times New Roman" w:hAnsi="Times New Roman" w:cs="Times New Roman"/>
        </w:rPr>
        <w:t>, Mountain</w:t>
      </w:r>
      <w:r w:rsidR="0005582D">
        <w:rPr>
          <w:rFonts w:ascii="Times New Roman" w:hAnsi="Times New Roman" w:cs="Times New Roman"/>
        </w:rPr>
        <w:t xml:space="preserve"> (ID, NV, MT, WY, UT, AZ, CO, NM)</w:t>
      </w:r>
      <w:r w:rsidRPr="002829FD">
        <w:rPr>
          <w:rFonts w:ascii="Times New Roman" w:hAnsi="Times New Roman" w:cs="Times New Roman"/>
        </w:rPr>
        <w:t>, Midwest</w:t>
      </w:r>
      <w:r w:rsidR="0005582D">
        <w:rPr>
          <w:rFonts w:ascii="Times New Roman" w:hAnsi="Times New Roman" w:cs="Times New Roman"/>
        </w:rPr>
        <w:t xml:space="preserve"> (ND, SD, NE, KS, MN, IA, MO, WI, IL, MI, IN, OH)</w:t>
      </w:r>
      <w:r w:rsidRPr="002829FD">
        <w:rPr>
          <w:rFonts w:ascii="Times New Roman" w:hAnsi="Times New Roman" w:cs="Times New Roman"/>
        </w:rPr>
        <w:t>, South</w:t>
      </w:r>
      <w:r w:rsidR="0005582D">
        <w:rPr>
          <w:rFonts w:ascii="Times New Roman" w:hAnsi="Times New Roman" w:cs="Times New Roman"/>
        </w:rPr>
        <w:t xml:space="preserve"> (OK, TX, AR, LA, KY, TN, MS, AL, WV, VA, NC, SC, GA, FL, MD, DE)</w:t>
      </w:r>
      <w:r w:rsidRPr="002829FD">
        <w:rPr>
          <w:rFonts w:ascii="Times New Roman" w:hAnsi="Times New Roman" w:cs="Times New Roman"/>
        </w:rPr>
        <w:t>, Northeast</w:t>
      </w:r>
      <w:r w:rsidR="0005582D">
        <w:rPr>
          <w:rFonts w:ascii="Times New Roman" w:hAnsi="Times New Roman" w:cs="Times New Roman"/>
        </w:rPr>
        <w:t xml:space="preserve"> (NY, PA, NJ, VT, NH, MA, CT, RI, ME)</w:t>
      </w:r>
      <w:r w:rsidRPr="002829FD">
        <w:rPr>
          <w:rFonts w:ascii="Times New Roman" w:hAnsi="Times New Roman" w:cs="Times New Roman"/>
        </w:rPr>
        <w:t xml:space="preserve">. </w:t>
      </w:r>
      <w:r w:rsidR="0005582D">
        <w:rPr>
          <w:rFonts w:ascii="Times New Roman" w:hAnsi="Times New Roman" w:cs="Times New Roman"/>
        </w:rPr>
        <w:t>We also</w:t>
      </w:r>
      <w:r w:rsidR="005D2452" w:rsidRPr="002829FD">
        <w:rPr>
          <w:rFonts w:ascii="Times New Roman" w:hAnsi="Times New Roman" w:cs="Times New Roman"/>
        </w:rPr>
        <w:t xml:space="preserve"> include data </w:t>
      </w:r>
      <w:r w:rsidR="0005582D">
        <w:rPr>
          <w:rFonts w:ascii="Times New Roman" w:hAnsi="Times New Roman" w:cs="Times New Roman"/>
        </w:rPr>
        <w:t>for cattle producers in Colorado</w:t>
      </w:r>
      <w:r w:rsidR="00950090">
        <w:rPr>
          <w:rFonts w:ascii="Times New Roman" w:hAnsi="Times New Roman" w:cs="Times New Roman"/>
        </w:rPr>
        <w:t xml:space="preserve"> as the sample size allows for a state-level estimate. </w:t>
      </w:r>
    </w:p>
    <w:p w14:paraId="74C3A038" w14:textId="0FE681B4" w:rsidR="00C36EE8" w:rsidRPr="002829FD" w:rsidRDefault="00C36EE8" w:rsidP="00635321">
      <w:pPr>
        <w:rPr>
          <w:rFonts w:ascii="Times New Roman" w:hAnsi="Times New Roman" w:cs="Times New Roman"/>
        </w:rPr>
      </w:pPr>
    </w:p>
    <w:p w14:paraId="190A8586" w14:textId="4B420D53" w:rsidR="00C36EE8" w:rsidRPr="00BC24BE" w:rsidRDefault="005A3384" w:rsidP="00C36EE8">
      <w:pPr>
        <w:pStyle w:val="Heading2"/>
        <w:rPr>
          <w:rFonts w:ascii="Times New Roman" w:hAnsi="Times New Roman" w:cs="Times New Roman"/>
          <w:i/>
          <w:iCs/>
          <w:color w:val="000000" w:themeColor="text1"/>
          <w:sz w:val="24"/>
          <w:szCs w:val="24"/>
        </w:rPr>
      </w:pPr>
      <w:r w:rsidRPr="00BC24BE">
        <w:rPr>
          <w:rFonts w:ascii="Times New Roman" w:hAnsi="Times New Roman" w:cs="Times New Roman"/>
          <w:i/>
          <w:iCs/>
          <w:color w:val="000000" w:themeColor="text1"/>
          <w:sz w:val="24"/>
          <w:szCs w:val="24"/>
        </w:rPr>
        <w:t>Production</w:t>
      </w:r>
      <w:r w:rsidR="00C36EE8" w:rsidRPr="00BC24BE">
        <w:rPr>
          <w:rFonts w:ascii="Times New Roman" w:hAnsi="Times New Roman" w:cs="Times New Roman"/>
          <w:i/>
          <w:iCs/>
          <w:color w:val="000000" w:themeColor="text1"/>
          <w:sz w:val="24"/>
          <w:szCs w:val="24"/>
        </w:rPr>
        <w:t xml:space="preserve"> expenses</w:t>
      </w:r>
    </w:p>
    <w:p w14:paraId="788A475F" w14:textId="2CB03FA1" w:rsidR="00BC24BE" w:rsidRDefault="00376113" w:rsidP="005049BD">
      <w:pPr>
        <w:rPr>
          <w:rFonts w:ascii="Times New Roman" w:hAnsi="Times New Roman" w:cs="Times New Roman"/>
        </w:rPr>
      </w:pPr>
      <w:r w:rsidRPr="002829FD">
        <w:rPr>
          <w:rFonts w:ascii="Times New Roman" w:hAnsi="Times New Roman" w:cs="Times New Roman"/>
        </w:rPr>
        <w:t>Table 1 provides all production expense variables</w:t>
      </w:r>
      <w:r w:rsidR="005049BD" w:rsidRPr="002829FD">
        <w:rPr>
          <w:rFonts w:ascii="Times New Roman" w:hAnsi="Times New Roman" w:cs="Times New Roman"/>
        </w:rPr>
        <w:t xml:space="preserve"> asked in the 2017 Census of Agriculture</w:t>
      </w:r>
      <w:r w:rsidR="00BC24BE">
        <w:rPr>
          <w:rFonts w:ascii="Times New Roman" w:hAnsi="Times New Roman" w:cs="Times New Roman"/>
        </w:rPr>
        <w:t xml:space="preserve"> and the</w:t>
      </w:r>
      <w:r w:rsidR="005049BD" w:rsidRPr="002829FD">
        <w:rPr>
          <w:rFonts w:ascii="Times New Roman" w:hAnsi="Times New Roman" w:cs="Times New Roman"/>
        </w:rPr>
        <w:t xml:space="preserve"> </w:t>
      </w:r>
      <w:r w:rsidR="00BC24BE">
        <w:rPr>
          <w:rFonts w:ascii="Times New Roman" w:hAnsi="Times New Roman" w:cs="Times New Roman"/>
        </w:rPr>
        <w:t>expense</w:t>
      </w:r>
      <w:r w:rsidR="005049BD" w:rsidRPr="002829FD">
        <w:rPr>
          <w:rFonts w:ascii="Times New Roman" w:hAnsi="Times New Roman" w:cs="Times New Roman"/>
        </w:rPr>
        <w:t xml:space="preserve"> categories used in th</w:t>
      </w:r>
      <w:r w:rsidR="00BC24BE">
        <w:rPr>
          <w:rFonts w:ascii="Times New Roman" w:hAnsi="Times New Roman" w:cs="Times New Roman"/>
        </w:rPr>
        <w:t>is</w:t>
      </w:r>
      <w:r w:rsidR="005049BD" w:rsidRPr="002829FD">
        <w:rPr>
          <w:rFonts w:ascii="Times New Roman" w:hAnsi="Times New Roman" w:cs="Times New Roman"/>
        </w:rPr>
        <w:t xml:space="preserve"> analysis. </w:t>
      </w:r>
      <w:r w:rsidR="00BC24BE">
        <w:rPr>
          <w:rFonts w:ascii="Times New Roman" w:hAnsi="Times New Roman" w:cs="Times New Roman"/>
        </w:rPr>
        <w:t xml:space="preserve">Some expense categories were grouped together for those categories for which producers were less likely to have recorded their expenses disaggregated. </w:t>
      </w:r>
    </w:p>
    <w:p w14:paraId="326D8F2D" w14:textId="77777777" w:rsidR="00BC24BE" w:rsidRDefault="00BC24BE" w:rsidP="005049BD">
      <w:pPr>
        <w:rPr>
          <w:rFonts w:ascii="Times New Roman" w:hAnsi="Times New Roman" w:cs="Times New Roman"/>
        </w:rPr>
      </w:pPr>
    </w:p>
    <w:p w14:paraId="6C86EBB9" w14:textId="574F9590" w:rsidR="005049BD" w:rsidRPr="002829FD" w:rsidRDefault="005049BD" w:rsidP="005049BD">
      <w:pPr>
        <w:rPr>
          <w:rFonts w:ascii="Times New Roman" w:hAnsi="Times New Roman" w:cs="Times New Roman"/>
        </w:rPr>
      </w:pPr>
      <w:r w:rsidRPr="002829FD">
        <w:rPr>
          <w:rFonts w:ascii="Times New Roman" w:hAnsi="Times New Roman" w:cs="Times New Roman"/>
        </w:rPr>
        <w:t xml:space="preserve">Each expense is </w:t>
      </w:r>
      <w:r w:rsidR="00BC24BE">
        <w:rPr>
          <w:rFonts w:ascii="Times New Roman" w:hAnsi="Times New Roman" w:cs="Times New Roman"/>
        </w:rPr>
        <w:t xml:space="preserve">provided on a </w:t>
      </w:r>
      <w:r w:rsidR="006533C9" w:rsidRPr="002829FD">
        <w:rPr>
          <w:rFonts w:ascii="Times New Roman" w:hAnsi="Times New Roman" w:cs="Times New Roman"/>
        </w:rPr>
        <w:t>per head basis</w:t>
      </w:r>
      <w:r w:rsidRPr="002829FD">
        <w:rPr>
          <w:rFonts w:ascii="Times New Roman" w:hAnsi="Times New Roman" w:cs="Times New Roman"/>
        </w:rPr>
        <w:t>. We report both the total production expense</w:t>
      </w:r>
      <w:r w:rsidR="006533C9" w:rsidRPr="002829FD">
        <w:rPr>
          <w:rFonts w:ascii="Times New Roman" w:hAnsi="Times New Roman" w:cs="Times New Roman"/>
        </w:rPr>
        <w:t xml:space="preserve">, </w:t>
      </w:r>
      <w:r w:rsidR="00BC24BE">
        <w:rPr>
          <w:rFonts w:ascii="Times New Roman" w:hAnsi="Times New Roman" w:cs="Times New Roman"/>
        </w:rPr>
        <w:t xml:space="preserve">total expense per head, </w:t>
      </w:r>
      <w:r w:rsidR="006533C9" w:rsidRPr="002829FD">
        <w:rPr>
          <w:rFonts w:ascii="Times New Roman" w:hAnsi="Times New Roman" w:cs="Times New Roman"/>
        </w:rPr>
        <w:t xml:space="preserve">and the expense in each category per head, </w:t>
      </w:r>
      <w:r w:rsidR="00242C84" w:rsidRPr="002829FD">
        <w:rPr>
          <w:rFonts w:ascii="Times New Roman" w:hAnsi="Times New Roman" w:cs="Times New Roman"/>
        </w:rPr>
        <w:t>including</w:t>
      </w:r>
      <w:r w:rsidR="00BF6D35" w:rsidRPr="002829FD">
        <w:rPr>
          <w:rFonts w:ascii="Times New Roman" w:hAnsi="Times New Roman" w:cs="Times New Roman"/>
        </w:rPr>
        <w:t xml:space="preserve"> benchmark ranges</w:t>
      </w:r>
      <w:r w:rsidRPr="002829FD">
        <w:rPr>
          <w:rFonts w:ascii="Times New Roman" w:hAnsi="Times New Roman" w:cs="Times New Roman"/>
        </w:rPr>
        <w:t xml:space="preserve">. </w:t>
      </w:r>
    </w:p>
    <w:p w14:paraId="794A94B5" w14:textId="77777777" w:rsidR="005049BD" w:rsidRPr="002829FD" w:rsidRDefault="005049BD">
      <w:pPr>
        <w:rPr>
          <w:rFonts w:ascii="Times New Roman" w:hAnsi="Times New Roman" w:cs="Times New Roman"/>
        </w:rPr>
      </w:pPr>
    </w:p>
    <w:p w14:paraId="285AC4D5" w14:textId="61002657" w:rsidR="008A268C" w:rsidRPr="002829FD" w:rsidRDefault="008A268C" w:rsidP="008A268C">
      <w:pPr>
        <w:rPr>
          <w:rFonts w:ascii="Times New Roman" w:hAnsi="Times New Roman" w:cs="Times New Roman"/>
        </w:rPr>
      </w:pPr>
      <w:r w:rsidRPr="002829FD">
        <w:rPr>
          <w:rFonts w:ascii="Times New Roman" w:hAnsi="Times New Roman" w:cs="Times New Roman"/>
        </w:rPr>
        <w:t xml:space="preserve">Table </w:t>
      </w:r>
      <w:r w:rsidR="005049BD" w:rsidRPr="002829FD">
        <w:rPr>
          <w:rFonts w:ascii="Times New Roman" w:hAnsi="Times New Roman" w:cs="Times New Roman"/>
        </w:rPr>
        <w:t>1</w:t>
      </w:r>
      <w:r w:rsidRPr="002829FD">
        <w:rPr>
          <w:rFonts w:ascii="Times New Roman" w:hAnsi="Times New Roman" w:cs="Times New Roman"/>
        </w:rPr>
        <w:t xml:space="preserve">. </w:t>
      </w:r>
      <w:r w:rsidR="00671F9D" w:rsidRPr="002829FD">
        <w:rPr>
          <w:rFonts w:ascii="Times New Roman" w:hAnsi="Times New Roman" w:cs="Times New Roman"/>
        </w:rPr>
        <w:t>Description of production</w:t>
      </w:r>
      <w:r w:rsidRPr="002829FD">
        <w:rPr>
          <w:rFonts w:ascii="Times New Roman" w:hAnsi="Times New Roman" w:cs="Times New Roman"/>
        </w:rPr>
        <w:t xml:space="preserve"> expenses </w:t>
      </w:r>
    </w:p>
    <w:tbl>
      <w:tblPr>
        <w:tblStyle w:val="TableGrid"/>
        <w:tblW w:w="10077" w:type="dxa"/>
        <w:tblLook w:val="04A0" w:firstRow="1" w:lastRow="0" w:firstColumn="1" w:lastColumn="0" w:noHBand="0" w:noVBand="1"/>
      </w:tblPr>
      <w:tblGrid>
        <w:gridCol w:w="2948"/>
        <w:gridCol w:w="7129"/>
      </w:tblGrid>
      <w:tr w:rsidR="008A268C" w:rsidRPr="002829FD" w14:paraId="0C1F5C3D" w14:textId="77777777" w:rsidTr="00671F9D">
        <w:trPr>
          <w:trHeight w:val="337"/>
        </w:trPr>
        <w:tc>
          <w:tcPr>
            <w:tcW w:w="2948" w:type="dxa"/>
            <w:noWrap/>
            <w:hideMark/>
          </w:tcPr>
          <w:p w14:paraId="736C0B09" w14:textId="55194F55" w:rsidR="008A268C" w:rsidRPr="002829FD" w:rsidRDefault="008A268C" w:rsidP="009B13C9">
            <w:pPr>
              <w:rPr>
                <w:rFonts w:ascii="Times New Roman" w:eastAsia="Times New Roman" w:hAnsi="Times New Roman" w:cs="Times New Roman"/>
                <w:b/>
                <w:bCs/>
                <w:color w:val="000000"/>
              </w:rPr>
            </w:pPr>
            <w:r w:rsidRPr="002829FD">
              <w:rPr>
                <w:rFonts w:ascii="Times New Roman" w:eastAsia="Times New Roman" w:hAnsi="Times New Roman" w:cs="Times New Roman"/>
                <w:b/>
                <w:bCs/>
                <w:color w:val="000000"/>
              </w:rPr>
              <w:t>Variable</w:t>
            </w:r>
            <w:r w:rsidR="005049BD" w:rsidRPr="002829FD">
              <w:rPr>
                <w:rFonts w:ascii="Times New Roman" w:eastAsia="Times New Roman" w:hAnsi="Times New Roman" w:cs="Times New Roman"/>
                <w:b/>
                <w:bCs/>
                <w:color w:val="000000"/>
              </w:rPr>
              <w:t xml:space="preserve"> </w:t>
            </w:r>
          </w:p>
        </w:tc>
        <w:tc>
          <w:tcPr>
            <w:tcW w:w="7129" w:type="dxa"/>
            <w:noWrap/>
            <w:hideMark/>
          </w:tcPr>
          <w:p w14:paraId="12F04A9D" w14:textId="74F02C2D" w:rsidR="008A268C" w:rsidRPr="002829FD" w:rsidRDefault="005049BD" w:rsidP="009B13C9">
            <w:pPr>
              <w:rPr>
                <w:rFonts w:ascii="Times New Roman" w:eastAsia="Times New Roman" w:hAnsi="Times New Roman" w:cs="Times New Roman"/>
                <w:b/>
                <w:bCs/>
                <w:color w:val="000000"/>
              </w:rPr>
            </w:pPr>
            <w:r w:rsidRPr="002829FD">
              <w:rPr>
                <w:rFonts w:ascii="Times New Roman" w:eastAsia="Times New Roman" w:hAnsi="Times New Roman" w:cs="Times New Roman"/>
                <w:b/>
                <w:bCs/>
                <w:color w:val="000000"/>
              </w:rPr>
              <w:t>Production expense</w:t>
            </w:r>
            <w:r w:rsidR="008A268C" w:rsidRPr="002829FD">
              <w:rPr>
                <w:rFonts w:ascii="Times New Roman" w:eastAsia="Times New Roman" w:hAnsi="Times New Roman" w:cs="Times New Roman"/>
                <w:b/>
                <w:bCs/>
                <w:color w:val="000000"/>
              </w:rPr>
              <w:t xml:space="preserve"> description </w:t>
            </w:r>
          </w:p>
        </w:tc>
      </w:tr>
      <w:tr w:rsidR="008A268C" w:rsidRPr="002829FD" w14:paraId="05EC8984" w14:textId="77777777" w:rsidTr="00671F9D">
        <w:trPr>
          <w:trHeight w:val="337"/>
        </w:trPr>
        <w:tc>
          <w:tcPr>
            <w:tcW w:w="2948" w:type="dxa"/>
            <w:noWrap/>
            <w:hideMark/>
          </w:tcPr>
          <w:p w14:paraId="2A2235A0" w14:textId="5A5CC3E2" w:rsidR="008A268C" w:rsidRPr="002829FD" w:rsidRDefault="008A268C" w:rsidP="009B13C9">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k1501 + k1502</w:t>
            </w:r>
            <w:r w:rsidR="001B3A06" w:rsidRPr="002829FD">
              <w:rPr>
                <w:rFonts w:ascii="Times New Roman" w:eastAsia="Times New Roman" w:hAnsi="Times New Roman" w:cs="Times New Roman"/>
                <w:color w:val="000000"/>
              </w:rPr>
              <w:t xml:space="preserve"> + k1503</w:t>
            </w:r>
          </w:p>
        </w:tc>
        <w:tc>
          <w:tcPr>
            <w:tcW w:w="7129" w:type="dxa"/>
            <w:noWrap/>
            <w:hideMark/>
          </w:tcPr>
          <w:p w14:paraId="7D700E11" w14:textId="40060E3B" w:rsidR="008A268C" w:rsidRPr="002829FD" w:rsidRDefault="008A268C" w:rsidP="009B13C9">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Fertilizer</w:t>
            </w:r>
            <w:r w:rsidR="001B3A06" w:rsidRPr="002829FD">
              <w:rPr>
                <w:rFonts w:ascii="Times New Roman" w:eastAsia="Times New Roman" w:hAnsi="Times New Roman" w:cs="Times New Roman"/>
                <w:color w:val="000000"/>
              </w:rPr>
              <w:t xml:space="preserve">, </w:t>
            </w:r>
            <w:r w:rsidRPr="002829FD">
              <w:rPr>
                <w:rFonts w:ascii="Times New Roman" w:eastAsia="Times New Roman" w:hAnsi="Times New Roman" w:cs="Times New Roman"/>
                <w:color w:val="000000"/>
              </w:rPr>
              <w:t>chemicals</w:t>
            </w:r>
            <w:r w:rsidR="001B3A06" w:rsidRPr="002829FD">
              <w:rPr>
                <w:rFonts w:ascii="Times New Roman" w:eastAsia="Times New Roman" w:hAnsi="Times New Roman" w:cs="Times New Roman"/>
                <w:color w:val="000000"/>
              </w:rPr>
              <w:t xml:space="preserve">, </w:t>
            </w:r>
            <w:r w:rsidR="005A3384" w:rsidRPr="002829FD">
              <w:rPr>
                <w:rFonts w:ascii="Times New Roman" w:eastAsia="Times New Roman" w:hAnsi="Times New Roman" w:cs="Times New Roman"/>
                <w:color w:val="000000"/>
              </w:rPr>
              <w:t>seeds,</w:t>
            </w:r>
            <w:r w:rsidR="001B3A06" w:rsidRPr="002829FD">
              <w:rPr>
                <w:rFonts w:ascii="Times New Roman" w:eastAsia="Times New Roman" w:hAnsi="Times New Roman" w:cs="Times New Roman"/>
                <w:color w:val="000000"/>
              </w:rPr>
              <w:t xml:space="preserve"> and plants</w:t>
            </w:r>
          </w:p>
        </w:tc>
      </w:tr>
      <w:tr w:rsidR="001B3A06" w:rsidRPr="002829FD" w14:paraId="09423A02" w14:textId="77777777" w:rsidTr="00671F9D">
        <w:trPr>
          <w:trHeight w:val="337"/>
        </w:trPr>
        <w:tc>
          <w:tcPr>
            <w:tcW w:w="2948" w:type="dxa"/>
            <w:noWrap/>
          </w:tcPr>
          <w:p w14:paraId="15F5601F" w14:textId="12B72187" w:rsidR="001B3A06" w:rsidRPr="002829FD" w:rsidRDefault="001B3A06"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k1504 + k1505</w:t>
            </w:r>
          </w:p>
        </w:tc>
        <w:tc>
          <w:tcPr>
            <w:tcW w:w="7129" w:type="dxa"/>
            <w:noWrap/>
          </w:tcPr>
          <w:p w14:paraId="01753A17" w14:textId="7D3677B1" w:rsidR="001B3A06" w:rsidRPr="002829FD" w:rsidRDefault="001B3A06"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Breeding stock, other livestock purchased or leased</w:t>
            </w:r>
          </w:p>
        </w:tc>
      </w:tr>
      <w:tr w:rsidR="001B3A06" w:rsidRPr="002829FD" w14:paraId="464872EA" w14:textId="77777777" w:rsidTr="00671F9D">
        <w:trPr>
          <w:trHeight w:val="337"/>
        </w:trPr>
        <w:tc>
          <w:tcPr>
            <w:tcW w:w="2948" w:type="dxa"/>
            <w:noWrap/>
            <w:hideMark/>
          </w:tcPr>
          <w:p w14:paraId="3A54D3DE" w14:textId="77777777" w:rsidR="001B3A06" w:rsidRPr="002829FD" w:rsidRDefault="001B3A06"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k1506</w:t>
            </w:r>
          </w:p>
        </w:tc>
        <w:tc>
          <w:tcPr>
            <w:tcW w:w="7129" w:type="dxa"/>
            <w:noWrap/>
            <w:hideMark/>
          </w:tcPr>
          <w:p w14:paraId="6350CCD4" w14:textId="77777777" w:rsidR="001B3A06" w:rsidRPr="002829FD" w:rsidRDefault="001B3A06"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Feed</w:t>
            </w:r>
          </w:p>
        </w:tc>
      </w:tr>
      <w:tr w:rsidR="001B3A06" w:rsidRPr="002829FD" w14:paraId="36BF16F7" w14:textId="77777777" w:rsidTr="00671F9D">
        <w:trPr>
          <w:trHeight w:val="337"/>
        </w:trPr>
        <w:tc>
          <w:tcPr>
            <w:tcW w:w="2948" w:type="dxa"/>
            <w:noWrap/>
            <w:hideMark/>
          </w:tcPr>
          <w:p w14:paraId="646D470F" w14:textId="77777777" w:rsidR="001B3A06" w:rsidRPr="002829FD" w:rsidRDefault="001B3A06"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k1507</w:t>
            </w:r>
          </w:p>
        </w:tc>
        <w:tc>
          <w:tcPr>
            <w:tcW w:w="7129" w:type="dxa"/>
            <w:noWrap/>
            <w:hideMark/>
          </w:tcPr>
          <w:p w14:paraId="4F4BF24D" w14:textId="77777777" w:rsidR="001B3A06" w:rsidRPr="002829FD" w:rsidRDefault="001B3A06"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Gas, fuel, oil</w:t>
            </w:r>
          </w:p>
        </w:tc>
      </w:tr>
      <w:tr w:rsidR="001B3A06" w:rsidRPr="002829FD" w14:paraId="7B9A7A86" w14:textId="77777777" w:rsidTr="00671F9D">
        <w:trPr>
          <w:trHeight w:val="337"/>
        </w:trPr>
        <w:tc>
          <w:tcPr>
            <w:tcW w:w="2948" w:type="dxa"/>
            <w:noWrap/>
            <w:hideMark/>
          </w:tcPr>
          <w:p w14:paraId="5BE0C730" w14:textId="77777777" w:rsidR="001B3A06" w:rsidRPr="002829FD" w:rsidRDefault="001B3A06"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k1508</w:t>
            </w:r>
          </w:p>
        </w:tc>
        <w:tc>
          <w:tcPr>
            <w:tcW w:w="7129" w:type="dxa"/>
            <w:noWrap/>
            <w:hideMark/>
          </w:tcPr>
          <w:p w14:paraId="594664E3" w14:textId="77777777" w:rsidR="001B3A06" w:rsidRPr="002829FD" w:rsidRDefault="001B3A06"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Utilities</w:t>
            </w:r>
          </w:p>
        </w:tc>
      </w:tr>
      <w:tr w:rsidR="001B3A06" w:rsidRPr="002829FD" w14:paraId="0766E3D3" w14:textId="77777777" w:rsidTr="00671F9D">
        <w:trPr>
          <w:trHeight w:val="337"/>
        </w:trPr>
        <w:tc>
          <w:tcPr>
            <w:tcW w:w="2948" w:type="dxa"/>
            <w:noWrap/>
            <w:hideMark/>
          </w:tcPr>
          <w:p w14:paraId="705B5C9D" w14:textId="77777777" w:rsidR="001B3A06" w:rsidRPr="002829FD" w:rsidRDefault="001B3A06"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k1509</w:t>
            </w:r>
          </w:p>
        </w:tc>
        <w:tc>
          <w:tcPr>
            <w:tcW w:w="7129" w:type="dxa"/>
            <w:noWrap/>
            <w:hideMark/>
          </w:tcPr>
          <w:p w14:paraId="7BFCEFA3" w14:textId="77777777" w:rsidR="001B3A06" w:rsidRPr="002829FD" w:rsidRDefault="001B3A06"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Repairs and maintenance</w:t>
            </w:r>
          </w:p>
        </w:tc>
      </w:tr>
      <w:tr w:rsidR="001B3A06" w:rsidRPr="002829FD" w14:paraId="0A8B3B50" w14:textId="77777777" w:rsidTr="00671F9D">
        <w:trPr>
          <w:trHeight w:val="337"/>
        </w:trPr>
        <w:tc>
          <w:tcPr>
            <w:tcW w:w="2948" w:type="dxa"/>
            <w:noWrap/>
            <w:hideMark/>
          </w:tcPr>
          <w:p w14:paraId="113EC709" w14:textId="7C5BB42B" w:rsidR="001B3A06" w:rsidRPr="002829FD" w:rsidRDefault="001B3A06"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k1510 + k1511</w:t>
            </w:r>
            <w:r w:rsidR="00570C77" w:rsidRPr="002829FD">
              <w:rPr>
                <w:rFonts w:ascii="Times New Roman" w:eastAsia="Times New Roman" w:hAnsi="Times New Roman" w:cs="Times New Roman"/>
                <w:color w:val="000000"/>
              </w:rPr>
              <w:t>+ k1512</w:t>
            </w:r>
          </w:p>
        </w:tc>
        <w:tc>
          <w:tcPr>
            <w:tcW w:w="7129" w:type="dxa"/>
            <w:noWrap/>
            <w:hideMark/>
          </w:tcPr>
          <w:p w14:paraId="30664C48" w14:textId="1C53D7E2" w:rsidR="001B3A06" w:rsidRPr="002829FD" w:rsidRDefault="00570C77"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H</w:t>
            </w:r>
            <w:r w:rsidR="001B3A06" w:rsidRPr="002829FD">
              <w:rPr>
                <w:rFonts w:ascii="Times New Roman" w:eastAsia="Times New Roman" w:hAnsi="Times New Roman" w:cs="Times New Roman"/>
                <w:color w:val="000000"/>
              </w:rPr>
              <w:t>ired labor</w:t>
            </w:r>
            <w:r w:rsidRPr="002829FD">
              <w:rPr>
                <w:rFonts w:ascii="Times New Roman" w:eastAsia="Times New Roman" w:hAnsi="Times New Roman" w:cs="Times New Roman"/>
                <w:color w:val="000000"/>
              </w:rPr>
              <w:t>, c</w:t>
            </w:r>
            <w:r w:rsidR="001B3A06" w:rsidRPr="002829FD">
              <w:rPr>
                <w:rFonts w:ascii="Times New Roman" w:eastAsia="Times New Roman" w:hAnsi="Times New Roman" w:cs="Times New Roman"/>
                <w:color w:val="000000"/>
              </w:rPr>
              <w:t>ontract labor</w:t>
            </w:r>
            <w:r w:rsidRPr="002829FD">
              <w:rPr>
                <w:rFonts w:ascii="Times New Roman" w:eastAsia="Times New Roman" w:hAnsi="Times New Roman" w:cs="Times New Roman"/>
                <w:color w:val="000000"/>
              </w:rPr>
              <w:t>, custom work</w:t>
            </w:r>
            <w:r w:rsidR="00214FFB" w:rsidRPr="002829FD">
              <w:rPr>
                <w:rFonts w:ascii="Times New Roman" w:eastAsia="Times New Roman" w:hAnsi="Times New Roman" w:cs="Times New Roman"/>
                <w:color w:val="000000"/>
              </w:rPr>
              <w:t>,</w:t>
            </w:r>
            <w:r w:rsidRPr="002829FD">
              <w:rPr>
                <w:rFonts w:ascii="Times New Roman" w:eastAsia="Times New Roman" w:hAnsi="Times New Roman" w:cs="Times New Roman"/>
                <w:color w:val="000000"/>
              </w:rPr>
              <w:t xml:space="preserve"> and machine hire</w:t>
            </w:r>
          </w:p>
        </w:tc>
      </w:tr>
      <w:tr w:rsidR="00570C77" w:rsidRPr="002829FD" w14:paraId="191854DB" w14:textId="77777777" w:rsidTr="00671F9D">
        <w:trPr>
          <w:trHeight w:val="337"/>
        </w:trPr>
        <w:tc>
          <w:tcPr>
            <w:tcW w:w="2948" w:type="dxa"/>
            <w:noWrap/>
          </w:tcPr>
          <w:p w14:paraId="3CAB4D09" w14:textId="0F4F6E44" w:rsidR="00570C77" w:rsidRPr="002829FD" w:rsidRDefault="00570C77"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k1513 + k1514</w:t>
            </w:r>
            <w:r w:rsidR="009D448B" w:rsidRPr="002829FD">
              <w:rPr>
                <w:rFonts w:ascii="Times New Roman" w:eastAsia="Times New Roman" w:hAnsi="Times New Roman" w:cs="Times New Roman"/>
                <w:color w:val="000000"/>
              </w:rPr>
              <w:t xml:space="preserve"> + k1517</w:t>
            </w:r>
            <w:r w:rsidR="00F608D5" w:rsidRPr="002829FD">
              <w:rPr>
                <w:rStyle w:val="FootnoteReference"/>
                <w:rFonts w:ascii="Times New Roman" w:eastAsia="Times New Roman" w:hAnsi="Times New Roman" w:cs="Times New Roman"/>
                <w:color w:val="000000"/>
              </w:rPr>
              <w:footnoteReference w:id="3"/>
            </w:r>
          </w:p>
        </w:tc>
        <w:tc>
          <w:tcPr>
            <w:tcW w:w="7129" w:type="dxa"/>
            <w:noWrap/>
          </w:tcPr>
          <w:p w14:paraId="12B7327B" w14:textId="70487B5C" w:rsidR="00570C77" w:rsidRPr="002829FD" w:rsidRDefault="00570C77"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Cash rent for land and buildings, rent, lease expense for machinery</w:t>
            </w:r>
            <w:r w:rsidR="009D448B" w:rsidRPr="002829FD">
              <w:rPr>
                <w:rFonts w:ascii="Times New Roman" w:eastAsia="Times New Roman" w:hAnsi="Times New Roman" w:cs="Times New Roman"/>
                <w:color w:val="000000"/>
              </w:rPr>
              <w:t>, property taxes</w:t>
            </w:r>
          </w:p>
        </w:tc>
      </w:tr>
      <w:tr w:rsidR="0040695C" w:rsidRPr="002829FD" w14:paraId="6500793C" w14:textId="77777777" w:rsidTr="00671F9D">
        <w:trPr>
          <w:trHeight w:val="337"/>
        </w:trPr>
        <w:tc>
          <w:tcPr>
            <w:tcW w:w="2948" w:type="dxa"/>
            <w:noWrap/>
          </w:tcPr>
          <w:p w14:paraId="6E379193" w14:textId="148D81F1" w:rsidR="0040695C" w:rsidRPr="002829FD" w:rsidRDefault="0040695C"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lastRenderedPageBreak/>
              <w:t xml:space="preserve">         k1513</w:t>
            </w:r>
          </w:p>
        </w:tc>
        <w:tc>
          <w:tcPr>
            <w:tcW w:w="7129" w:type="dxa"/>
            <w:noWrap/>
          </w:tcPr>
          <w:p w14:paraId="64D89CB3" w14:textId="087C6684" w:rsidR="0040695C" w:rsidRPr="002829FD" w:rsidRDefault="0040695C"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 xml:space="preserve">         Cash rent for land and buildings</w:t>
            </w:r>
            <w:r w:rsidR="000D7C44" w:rsidRPr="002829FD">
              <w:rPr>
                <w:rFonts w:ascii="Times New Roman" w:eastAsia="Times New Roman" w:hAnsi="Times New Roman" w:cs="Times New Roman"/>
                <w:color w:val="000000"/>
              </w:rPr>
              <w:t xml:space="preserve"> – including grazing fees</w:t>
            </w:r>
          </w:p>
        </w:tc>
      </w:tr>
      <w:tr w:rsidR="0040695C" w:rsidRPr="002829FD" w14:paraId="11662A1D" w14:textId="77777777" w:rsidTr="00671F9D">
        <w:trPr>
          <w:trHeight w:val="337"/>
        </w:trPr>
        <w:tc>
          <w:tcPr>
            <w:tcW w:w="2948" w:type="dxa"/>
            <w:noWrap/>
          </w:tcPr>
          <w:p w14:paraId="4C5DBF88" w14:textId="46B3BDF5" w:rsidR="0040695C" w:rsidRPr="002829FD" w:rsidRDefault="0040695C"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 xml:space="preserve">        k1514 + k1517</w:t>
            </w:r>
          </w:p>
        </w:tc>
        <w:tc>
          <w:tcPr>
            <w:tcW w:w="7129" w:type="dxa"/>
            <w:noWrap/>
          </w:tcPr>
          <w:p w14:paraId="43899D59" w14:textId="2EBA5F14" w:rsidR="0040695C" w:rsidRPr="002829FD" w:rsidRDefault="0040695C"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 xml:space="preserve">         Rent, lease expense for machinery,</w:t>
            </w:r>
            <w:r w:rsidR="000D7C44" w:rsidRPr="002829FD">
              <w:rPr>
                <w:rFonts w:ascii="Times New Roman" w:eastAsia="Times New Roman" w:hAnsi="Times New Roman" w:cs="Times New Roman"/>
                <w:color w:val="000000"/>
              </w:rPr>
              <w:t xml:space="preserve"> equipment and farm share of vehicles, and </w:t>
            </w:r>
            <w:r w:rsidRPr="002829FD">
              <w:rPr>
                <w:rFonts w:ascii="Times New Roman" w:eastAsia="Times New Roman" w:hAnsi="Times New Roman" w:cs="Times New Roman"/>
                <w:color w:val="000000"/>
              </w:rPr>
              <w:t>property taxes</w:t>
            </w:r>
          </w:p>
        </w:tc>
      </w:tr>
      <w:tr w:rsidR="00570C77" w:rsidRPr="002829FD" w14:paraId="6BFCE42E" w14:textId="77777777" w:rsidTr="00671F9D">
        <w:trPr>
          <w:trHeight w:val="337"/>
        </w:trPr>
        <w:tc>
          <w:tcPr>
            <w:tcW w:w="2948" w:type="dxa"/>
            <w:noWrap/>
          </w:tcPr>
          <w:p w14:paraId="7F8617EB" w14:textId="2E6F6247" w:rsidR="00570C77" w:rsidRPr="002829FD" w:rsidRDefault="00570C77"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k1515 + k1516</w:t>
            </w:r>
          </w:p>
        </w:tc>
        <w:tc>
          <w:tcPr>
            <w:tcW w:w="7129" w:type="dxa"/>
            <w:noWrap/>
          </w:tcPr>
          <w:p w14:paraId="565091F9" w14:textId="3BED0BD6" w:rsidR="00570C77" w:rsidRPr="002829FD" w:rsidRDefault="00570C77"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 xml:space="preserve">Interest paid on real estate </w:t>
            </w:r>
            <w:proofErr w:type="gramStart"/>
            <w:r w:rsidRPr="002829FD">
              <w:rPr>
                <w:rFonts w:ascii="Times New Roman" w:eastAsia="Times New Roman" w:hAnsi="Times New Roman" w:cs="Times New Roman"/>
                <w:color w:val="000000"/>
              </w:rPr>
              <w:t>debt,</w:t>
            </w:r>
            <w:proofErr w:type="gramEnd"/>
            <w:r w:rsidRPr="002829FD">
              <w:rPr>
                <w:rFonts w:ascii="Times New Roman" w:eastAsia="Times New Roman" w:hAnsi="Times New Roman" w:cs="Times New Roman"/>
                <w:color w:val="000000"/>
              </w:rPr>
              <w:t xml:space="preserve"> interest paid on non-real estate debt</w:t>
            </w:r>
          </w:p>
        </w:tc>
      </w:tr>
      <w:tr w:rsidR="00570C77" w:rsidRPr="002829FD" w14:paraId="51866A6B" w14:textId="77777777" w:rsidTr="00671F9D">
        <w:trPr>
          <w:trHeight w:val="337"/>
        </w:trPr>
        <w:tc>
          <w:tcPr>
            <w:tcW w:w="2948" w:type="dxa"/>
            <w:noWrap/>
          </w:tcPr>
          <w:p w14:paraId="354072B4" w14:textId="365B4611" w:rsidR="00570C77" w:rsidRPr="002829FD" w:rsidRDefault="00671F9D"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k1518 + k1935</w:t>
            </w:r>
          </w:p>
        </w:tc>
        <w:tc>
          <w:tcPr>
            <w:tcW w:w="7129" w:type="dxa"/>
            <w:noWrap/>
          </w:tcPr>
          <w:p w14:paraId="047D2F26" w14:textId="6B24CDF6" w:rsidR="00570C77" w:rsidRPr="002829FD" w:rsidRDefault="00671F9D"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 xml:space="preserve">Other production expenses, medical expense </w:t>
            </w:r>
            <w:r w:rsidRPr="002829FD">
              <w:rPr>
                <w:rFonts w:ascii="Times New Roman" w:hAnsi="Times New Roman" w:cs="Times New Roman"/>
              </w:rPr>
              <w:t>(medical supplies, veterinary, and custom services for livestock)</w:t>
            </w:r>
          </w:p>
        </w:tc>
      </w:tr>
      <w:tr w:rsidR="00124172" w:rsidRPr="002829FD" w14:paraId="2988CE6B" w14:textId="77777777" w:rsidTr="00671F9D">
        <w:trPr>
          <w:trHeight w:val="337"/>
        </w:trPr>
        <w:tc>
          <w:tcPr>
            <w:tcW w:w="2948" w:type="dxa"/>
            <w:noWrap/>
          </w:tcPr>
          <w:p w14:paraId="76CAE3D9" w14:textId="6BEA3AFE" w:rsidR="00124172" w:rsidRPr="002829FD" w:rsidRDefault="002F3B6D"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Sum of all expenses above</w:t>
            </w:r>
          </w:p>
        </w:tc>
        <w:tc>
          <w:tcPr>
            <w:tcW w:w="7129" w:type="dxa"/>
            <w:noWrap/>
          </w:tcPr>
          <w:p w14:paraId="609404CB" w14:textId="621AD204" w:rsidR="00124172" w:rsidRPr="002829FD" w:rsidRDefault="00124172" w:rsidP="001B3A06">
            <w:pPr>
              <w:rPr>
                <w:rFonts w:ascii="Times New Roman" w:eastAsia="Times New Roman" w:hAnsi="Times New Roman" w:cs="Times New Roman"/>
                <w:color w:val="000000"/>
              </w:rPr>
            </w:pPr>
            <w:r w:rsidRPr="002829FD">
              <w:rPr>
                <w:rFonts w:ascii="Times New Roman" w:eastAsia="Times New Roman" w:hAnsi="Times New Roman" w:cs="Times New Roman"/>
                <w:color w:val="000000"/>
              </w:rPr>
              <w:t>Total production expense</w:t>
            </w:r>
          </w:p>
        </w:tc>
      </w:tr>
    </w:tbl>
    <w:p w14:paraId="0E5685E1" w14:textId="77777777" w:rsidR="00C36EE8" w:rsidRPr="002829FD" w:rsidRDefault="00C36EE8" w:rsidP="00C36EE8">
      <w:pPr>
        <w:rPr>
          <w:rFonts w:ascii="Times New Roman" w:hAnsi="Times New Roman" w:cs="Times New Roman"/>
        </w:rPr>
      </w:pPr>
    </w:p>
    <w:p w14:paraId="502972F2" w14:textId="77777777" w:rsidR="00BC24BE" w:rsidRDefault="008C77EC" w:rsidP="00BC24BE">
      <w:pPr>
        <w:rPr>
          <w:rFonts w:ascii="Times New Roman" w:hAnsi="Times New Roman" w:cs="Times New Roman"/>
        </w:rPr>
      </w:pPr>
      <w:r w:rsidRPr="002829FD">
        <w:rPr>
          <w:rFonts w:ascii="Times New Roman" w:hAnsi="Times New Roman" w:cs="Times New Roman"/>
        </w:rPr>
        <w:br w:type="page"/>
      </w:r>
    </w:p>
    <w:p w14:paraId="5CC4B724" w14:textId="7E99E10F" w:rsidR="00BC24BE" w:rsidRPr="00BC24BE" w:rsidRDefault="00BC24BE" w:rsidP="00BC24BE">
      <w:pPr>
        <w:rPr>
          <w:rFonts w:ascii="Times New Roman" w:hAnsi="Times New Roman" w:cs="Times New Roman"/>
          <w:b/>
          <w:bCs/>
        </w:rPr>
      </w:pPr>
      <w:r w:rsidRPr="00BC24BE">
        <w:rPr>
          <w:rFonts w:ascii="Times New Roman" w:hAnsi="Times New Roman" w:cs="Times New Roman"/>
          <w:b/>
          <w:bCs/>
        </w:rPr>
        <w:lastRenderedPageBreak/>
        <w:t>Appendix</w:t>
      </w:r>
    </w:p>
    <w:p w14:paraId="3FD43E1A" w14:textId="612B7F6F" w:rsidR="00A519BA" w:rsidRPr="002829FD" w:rsidRDefault="00A519BA" w:rsidP="00BC24BE">
      <w:pPr>
        <w:rPr>
          <w:rFonts w:ascii="Times New Roman" w:hAnsi="Times New Roman" w:cs="Times New Roman"/>
        </w:rPr>
      </w:pPr>
      <w:r w:rsidRPr="002829FD">
        <w:rPr>
          <w:rFonts w:ascii="Times New Roman" w:hAnsi="Times New Roman" w:cs="Times New Roman"/>
        </w:rPr>
        <w:t>Species – Detailed description of how variables are calculated</w:t>
      </w:r>
    </w:p>
    <w:p w14:paraId="33397F45" w14:textId="77777777" w:rsidR="00C36EE8" w:rsidRPr="002829FD" w:rsidRDefault="00C36EE8" w:rsidP="00C36EE8">
      <w:pPr>
        <w:rPr>
          <w:rFonts w:ascii="Times New Roman" w:hAnsi="Times New Roman" w:cs="Times New Roman"/>
        </w:rPr>
      </w:pPr>
    </w:p>
    <w:p w14:paraId="2A32858F" w14:textId="77777777" w:rsidR="00A519BA" w:rsidRPr="002829FD" w:rsidRDefault="00A519BA" w:rsidP="00A519BA">
      <w:pPr>
        <w:pStyle w:val="Heading3"/>
        <w:rPr>
          <w:rFonts w:ascii="Times New Roman" w:hAnsi="Times New Roman" w:cs="Times New Roman"/>
        </w:rPr>
      </w:pPr>
      <w:r w:rsidRPr="002829FD">
        <w:rPr>
          <w:rFonts w:ascii="Times New Roman" w:hAnsi="Times New Roman" w:cs="Times New Roman"/>
        </w:rPr>
        <w:t>Cattle</w:t>
      </w:r>
    </w:p>
    <w:p w14:paraId="6F3A80F5" w14:textId="77777777" w:rsidR="00A519BA" w:rsidRPr="002829FD" w:rsidRDefault="00A519BA" w:rsidP="00A519BA">
      <w:pPr>
        <w:rPr>
          <w:rFonts w:ascii="Times New Roman" w:hAnsi="Times New Roman" w:cs="Times New Roman"/>
        </w:rPr>
      </w:pPr>
      <w:r w:rsidRPr="002829FD">
        <w:rPr>
          <w:rFonts w:ascii="Times New Roman" w:hAnsi="Times New Roman" w:cs="Times New Roman"/>
        </w:rPr>
        <w:t>Cattle operations = if gross value of sales from cattle and calves (including sales under production contract) is equal to total value of production, then 1 otherwise 0</w:t>
      </w:r>
    </w:p>
    <w:p w14:paraId="3272382E" w14:textId="77777777" w:rsidR="00A519BA" w:rsidRPr="002829FD" w:rsidRDefault="00A519BA" w:rsidP="00A519BA">
      <w:pPr>
        <w:rPr>
          <w:rFonts w:ascii="Times New Roman" w:hAnsi="Times New Roman" w:cs="Times New Roman"/>
        </w:rPr>
      </w:pPr>
    </w:p>
    <w:p w14:paraId="62E21C3E" w14:textId="77777777" w:rsidR="00A519BA" w:rsidRPr="002829FD" w:rsidRDefault="00A519BA" w:rsidP="00A519BA">
      <w:pPr>
        <w:rPr>
          <w:rFonts w:ascii="Times New Roman" w:hAnsi="Times New Roman" w:cs="Times New Roman"/>
        </w:rPr>
      </w:pPr>
      <m:oMathPara>
        <m:oMathParaPr>
          <m:jc m:val="left"/>
        </m:oMathParaPr>
        <m:oMath>
          <m:r>
            <w:rPr>
              <w:rFonts w:ascii="Cambria Math" w:hAnsi="Cambria Math" w:cs="Times New Roman"/>
            </w:rPr>
            <m:t>cattle=ifelse</m:t>
          </m:r>
          <m:d>
            <m:dPr>
              <m:ctrlPr>
                <w:rPr>
                  <w:rFonts w:ascii="Cambria Math" w:hAnsi="Cambria Math" w:cs="Times New Roman"/>
                  <w:i/>
                </w:rPr>
              </m:ctrlPr>
            </m:dPr>
            <m:e>
              <m:r>
                <w:rPr>
                  <w:rFonts w:ascii="Cambria Math" w:hAnsi="Cambria Math" w:cs="Times New Roman"/>
                </w:rPr>
                <m:t>(k1339+k3308</m:t>
              </m:r>
            </m:e>
          </m:d>
          <m:r>
            <w:rPr>
              <w:rFonts w:ascii="Cambria Math" w:hAnsi="Cambria Math" w:cs="Times New Roman"/>
            </w:rPr>
            <m:t xml:space="preserve">&gt;0 &amp; </m:t>
          </m:r>
          <m:d>
            <m:dPr>
              <m:ctrlPr>
                <w:rPr>
                  <w:rFonts w:ascii="Cambria Math" w:hAnsi="Cambria Math" w:cs="Times New Roman"/>
                  <w:i/>
                </w:rPr>
              </m:ctrlPr>
            </m:dPr>
            <m:e>
              <m:r>
                <w:rPr>
                  <w:rFonts w:ascii="Cambria Math" w:hAnsi="Cambria Math" w:cs="Times New Roman"/>
                </w:rPr>
                <m:t>(k1339+k3308</m:t>
              </m:r>
            </m:e>
          </m:d>
          <m:r>
            <w:rPr>
              <w:rFonts w:ascii="Cambria Math" w:hAnsi="Cambria Math" w:cs="Times New Roman"/>
            </w:rPr>
            <m:t>==TVP, 1, 0)</m:t>
          </m:r>
        </m:oMath>
      </m:oMathPara>
    </w:p>
    <w:p w14:paraId="17626712" w14:textId="77777777" w:rsidR="00A519BA" w:rsidRPr="002829FD" w:rsidRDefault="00A519BA" w:rsidP="00A519BA">
      <w:pPr>
        <w:rPr>
          <w:rFonts w:ascii="Times New Roman" w:hAnsi="Times New Roman" w:cs="Times New Roman"/>
        </w:rPr>
      </w:pPr>
    </w:p>
    <w:p w14:paraId="3518CA46" w14:textId="77777777" w:rsidR="00A519BA" w:rsidRPr="002829FD" w:rsidRDefault="00A519BA" w:rsidP="00A519BA">
      <w:pPr>
        <w:pStyle w:val="Heading3"/>
        <w:rPr>
          <w:rFonts w:ascii="Times New Roman" w:hAnsi="Times New Roman" w:cs="Times New Roman"/>
        </w:rPr>
      </w:pPr>
      <w:r w:rsidRPr="002829FD">
        <w:rPr>
          <w:rFonts w:ascii="Times New Roman" w:hAnsi="Times New Roman" w:cs="Times New Roman"/>
        </w:rPr>
        <w:t>Hogs and pigs</w:t>
      </w:r>
    </w:p>
    <w:p w14:paraId="1314A3C4" w14:textId="77777777" w:rsidR="00A519BA" w:rsidRPr="002829FD" w:rsidRDefault="00A519BA" w:rsidP="00A519BA">
      <w:pPr>
        <w:rPr>
          <w:rFonts w:ascii="Times New Roman" w:hAnsi="Times New Roman" w:cs="Times New Roman"/>
        </w:rPr>
      </w:pPr>
      <w:r w:rsidRPr="002829FD">
        <w:rPr>
          <w:rFonts w:ascii="Times New Roman" w:hAnsi="Times New Roman" w:cs="Times New Roman"/>
        </w:rPr>
        <w:t>Hog and pig operations = if gross value of sales from hogs and pigs (including sales under production contract) is equal to total value of production, then 1 otherwise 0</w:t>
      </w:r>
    </w:p>
    <w:p w14:paraId="19DB62DC" w14:textId="77777777" w:rsidR="00A519BA" w:rsidRPr="002829FD" w:rsidRDefault="00A519BA" w:rsidP="00A519BA">
      <w:pPr>
        <w:rPr>
          <w:rFonts w:ascii="Times New Roman" w:hAnsi="Times New Roman" w:cs="Times New Roman"/>
        </w:rPr>
      </w:pPr>
    </w:p>
    <w:p w14:paraId="106C3E6F" w14:textId="77777777" w:rsidR="00A519BA" w:rsidRPr="002829FD" w:rsidRDefault="00A519BA" w:rsidP="00A519BA">
      <w:pPr>
        <w:rPr>
          <w:rFonts w:ascii="Times New Roman" w:hAnsi="Times New Roman" w:cs="Times New Roman"/>
        </w:rPr>
      </w:pPr>
      <m:oMathPara>
        <m:oMathParaPr>
          <m:jc m:val="left"/>
        </m:oMathParaPr>
        <m:oMath>
          <m:r>
            <w:rPr>
              <w:rFonts w:ascii="Cambria Math" w:hAnsi="Cambria Math" w:cs="Times New Roman"/>
            </w:rPr>
            <m:t>hogs_pigs=ifelse</m:t>
          </m:r>
          <m:d>
            <m:dPr>
              <m:ctrlPr>
                <w:rPr>
                  <w:rFonts w:ascii="Cambria Math" w:hAnsi="Cambria Math" w:cs="Times New Roman"/>
                  <w:i/>
                </w:rPr>
              </m:ctrlPr>
            </m:dPr>
            <m:e>
              <m:r>
                <w:rPr>
                  <w:rFonts w:ascii="Cambria Math" w:hAnsi="Cambria Math" w:cs="Times New Roman"/>
                </w:rPr>
                <m:t>(k821+k3309</m:t>
              </m:r>
            </m:e>
          </m:d>
          <m:r>
            <w:rPr>
              <w:rFonts w:ascii="Cambria Math" w:hAnsi="Cambria Math" w:cs="Times New Roman"/>
            </w:rPr>
            <m:t xml:space="preserve">&gt;0 &amp; </m:t>
          </m:r>
          <m:d>
            <m:dPr>
              <m:ctrlPr>
                <w:rPr>
                  <w:rFonts w:ascii="Cambria Math" w:hAnsi="Cambria Math" w:cs="Times New Roman"/>
                  <w:i/>
                </w:rPr>
              </m:ctrlPr>
            </m:dPr>
            <m:e>
              <m:r>
                <w:rPr>
                  <w:rFonts w:ascii="Cambria Math" w:hAnsi="Cambria Math" w:cs="Times New Roman"/>
                </w:rPr>
                <m:t>(k821+k3309</m:t>
              </m:r>
            </m:e>
          </m:d>
          <m:r>
            <w:rPr>
              <w:rFonts w:ascii="Cambria Math" w:hAnsi="Cambria Math" w:cs="Times New Roman"/>
            </w:rPr>
            <m:t>==TVP, 1, 0)</m:t>
          </m:r>
        </m:oMath>
      </m:oMathPara>
    </w:p>
    <w:p w14:paraId="23A3D7C2" w14:textId="77777777" w:rsidR="00A519BA" w:rsidRPr="002829FD" w:rsidRDefault="00A519BA" w:rsidP="00A519BA">
      <w:pPr>
        <w:rPr>
          <w:rFonts w:ascii="Times New Roman" w:hAnsi="Times New Roman" w:cs="Times New Roman"/>
        </w:rPr>
      </w:pPr>
    </w:p>
    <w:p w14:paraId="5F98E020" w14:textId="77777777" w:rsidR="00A519BA" w:rsidRPr="002829FD" w:rsidRDefault="00A519BA" w:rsidP="00A519BA">
      <w:pPr>
        <w:pStyle w:val="Heading3"/>
        <w:rPr>
          <w:rFonts w:ascii="Times New Roman" w:hAnsi="Times New Roman" w:cs="Times New Roman"/>
        </w:rPr>
      </w:pPr>
      <w:r w:rsidRPr="002829FD">
        <w:rPr>
          <w:rFonts w:ascii="Times New Roman" w:hAnsi="Times New Roman" w:cs="Times New Roman"/>
        </w:rPr>
        <w:t xml:space="preserve">Sheep, </w:t>
      </w:r>
      <w:proofErr w:type="gramStart"/>
      <w:r w:rsidRPr="002829FD">
        <w:rPr>
          <w:rFonts w:ascii="Times New Roman" w:hAnsi="Times New Roman" w:cs="Times New Roman"/>
        </w:rPr>
        <w:t>lamb</w:t>
      </w:r>
      <w:proofErr w:type="gramEnd"/>
      <w:r w:rsidRPr="002829FD">
        <w:rPr>
          <w:rFonts w:ascii="Times New Roman" w:hAnsi="Times New Roman" w:cs="Times New Roman"/>
        </w:rPr>
        <w:t xml:space="preserve"> and meat goats</w:t>
      </w:r>
    </w:p>
    <w:p w14:paraId="06DB23BD" w14:textId="77777777" w:rsidR="00A519BA" w:rsidRPr="002829FD" w:rsidRDefault="00A519BA" w:rsidP="00A519BA">
      <w:pPr>
        <w:rPr>
          <w:rFonts w:ascii="Times New Roman" w:hAnsi="Times New Roman" w:cs="Times New Roman"/>
        </w:rPr>
      </w:pPr>
      <w:r w:rsidRPr="002829FD">
        <w:rPr>
          <w:rFonts w:ascii="Times New Roman" w:hAnsi="Times New Roman" w:cs="Times New Roman"/>
        </w:rPr>
        <w:t xml:space="preserve">Sheep, </w:t>
      </w:r>
      <w:proofErr w:type="gramStart"/>
      <w:r w:rsidRPr="002829FD">
        <w:rPr>
          <w:rFonts w:ascii="Times New Roman" w:hAnsi="Times New Roman" w:cs="Times New Roman"/>
        </w:rPr>
        <w:t>lamb</w:t>
      </w:r>
      <w:proofErr w:type="gramEnd"/>
      <w:r w:rsidRPr="002829FD">
        <w:rPr>
          <w:rFonts w:ascii="Times New Roman" w:hAnsi="Times New Roman" w:cs="Times New Roman"/>
        </w:rPr>
        <w:t xml:space="preserve"> and goat operations = if gross value of sales from sheep, lamb, and meat goats (</w:t>
      </w:r>
      <w:r w:rsidRPr="002829FD">
        <w:rPr>
          <w:rFonts w:ascii="Times New Roman" w:hAnsi="Times New Roman" w:cs="Times New Roman"/>
          <w:b/>
          <w:bCs/>
        </w:rPr>
        <w:t>not</w:t>
      </w:r>
      <w:r w:rsidRPr="002829FD">
        <w:rPr>
          <w:rFonts w:ascii="Times New Roman" w:hAnsi="Times New Roman" w:cs="Times New Roman"/>
        </w:rPr>
        <w:t xml:space="preserve"> including sales under production contract) is equal to total value of production, then 1 otherwise 0</w:t>
      </w:r>
    </w:p>
    <w:p w14:paraId="1FF6C3A8" w14:textId="77777777" w:rsidR="00A519BA" w:rsidRPr="002829FD" w:rsidRDefault="00A519BA" w:rsidP="00A519BA">
      <w:pPr>
        <w:rPr>
          <w:rFonts w:ascii="Times New Roman" w:hAnsi="Times New Roman" w:cs="Times New Roman"/>
        </w:rPr>
      </w:pPr>
    </w:p>
    <w:p w14:paraId="58BCCE22" w14:textId="2821F9B9" w:rsidR="00A519BA" w:rsidRPr="002829FD" w:rsidRDefault="00A519BA" w:rsidP="00A519BA">
      <w:pPr>
        <w:rPr>
          <w:rFonts w:ascii="Times New Roman" w:hAnsi="Times New Roman" w:cs="Times New Roman"/>
        </w:rPr>
      </w:pPr>
      <m:oMathPara>
        <m:oMathParaPr>
          <m:jc m:val="left"/>
        </m:oMathParaPr>
        <m:oMath>
          <m:r>
            <w:rPr>
              <w:rFonts w:ascii="Cambria Math" w:hAnsi="Cambria Math" w:cs="Times New Roman"/>
            </w:rPr>
            <m:t>sheep_lamb_goat=ifelse</m:t>
          </m:r>
          <m:d>
            <m:dPr>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k824&gt;0 &amp; k824==TVP</m:t>
                  </m:r>
                </m:e>
              </m:d>
            </m:e>
          </m:d>
          <m:d>
            <m:dPr>
              <m:ctrlPr>
                <w:rPr>
                  <w:rFonts w:ascii="Cambria Math" w:hAnsi="Cambria Math" w:cs="Times New Roman"/>
                  <w:i/>
                </w:rPr>
              </m:ctrlPr>
            </m:dPr>
            <m:e>
              <m:r>
                <w:rPr>
                  <w:rFonts w:ascii="Cambria Math" w:hAnsi="Cambria Math" w:cs="Times New Roman"/>
                </w:rPr>
                <m:t>k851&gt;0 &amp;k851==TVP</m:t>
              </m:r>
            </m:e>
          </m:d>
          <m:r>
            <w:rPr>
              <w:rFonts w:ascii="Cambria Math" w:hAnsi="Cambria Math" w:cs="Times New Roman"/>
            </w:rPr>
            <m:t>, 1, 0)</m:t>
          </m:r>
        </m:oMath>
      </m:oMathPara>
    </w:p>
    <w:p w14:paraId="5E3CE0D7" w14:textId="77777777" w:rsidR="00A519BA" w:rsidRPr="002829FD" w:rsidRDefault="00A519BA" w:rsidP="00A519BA">
      <w:pPr>
        <w:rPr>
          <w:rFonts w:ascii="Times New Roman" w:hAnsi="Times New Roman" w:cs="Times New Roman"/>
        </w:rPr>
      </w:pPr>
    </w:p>
    <w:p w14:paraId="63C57BFD" w14:textId="77777777" w:rsidR="00A519BA" w:rsidRPr="002829FD" w:rsidRDefault="00A519BA" w:rsidP="00C36EE8">
      <w:pPr>
        <w:rPr>
          <w:rFonts w:ascii="Times New Roman" w:hAnsi="Times New Roman" w:cs="Times New Roman"/>
        </w:rPr>
      </w:pPr>
    </w:p>
    <w:sectPr w:rsidR="00A519BA" w:rsidRPr="002829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3F6DF" w14:textId="77777777" w:rsidR="00A245D7" w:rsidRDefault="00A245D7" w:rsidP="00262F01">
      <w:r>
        <w:separator/>
      </w:r>
    </w:p>
  </w:endnote>
  <w:endnote w:type="continuationSeparator" w:id="0">
    <w:p w14:paraId="76682FA0" w14:textId="77777777" w:rsidR="00A245D7" w:rsidRDefault="00A245D7" w:rsidP="0026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3A02" w14:textId="77777777" w:rsidR="00A245D7" w:rsidRDefault="00A245D7" w:rsidP="00262F01">
      <w:r>
        <w:separator/>
      </w:r>
    </w:p>
  </w:footnote>
  <w:footnote w:type="continuationSeparator" w:id="0">
    <w:p w14:paraId="36B4D085" w14:textId="77777777" w:rsidR="00A245D7" w:rsidRDefault="00A245D7" w:rsidP="00262F01">
      <w:r>
        <w:continuationSeparator/>
      </w:r>
    </w:p>
  </w:footnote>
  <w:footnote w:id="1">
    <w:p w14:paraId="5A3D4855" w14:textId="6366CC07" w:rsidR="00F209DC" w:rsidRPr="00F209DC" w:rsidRDefault="00F209DC">
      <w:pPr>
        <w:pStyle w:val="FootnoteText"/>
        <w:rPr>
          <w:rFonts w:ascii="Times New Roman" w:hAnsi="Times New Roman" w:cs="Times New Roman"/>
        </w:rPr>
      </w:pPr>
      <w:r w:rsidRPr="00F209DC">
        <w:rPr>
          <w:rStyle w:val="FootnoteReference"/>
          <w:rFonts w:ascii="Times New Roman" w:hAnsi="Times New Roman" w:cs="Times New Roman"/>
        </w:rPr>
        <w:footnoteRef/>
      </w:r>
      <w:r w:rsidRPr="00F209DC">
        <w:rPr>
          <w:rFonts w:ascii="Times New Roman" w:hAnsi="Times New Roman" w:cs="Times New Roman"/>
        </w:rPr>
        <w:t xml:space="preserve"> We </w:t>
      </w:r>
      <w:r w:rsidR="009364F2">
        <w:rPr>
          <w:rFonts w:ascii="Times New Roman" w:hAnsi="Times New Roman" w:cs="Times New Roman"/>
        </w:rPr>
        <w:t xml:space="preserve">also </w:t>
      </w:r>
      <w:r w:rsidRPr="00F209DC">
        <w:rPr>
          <w:rFonts w:ascii="Times New Roman" w:hAnsi="Times New Roman" w:cs="Times New Roman"/>
        </w:rPr>
        <w:t xml:space="preserve">provide </w:t>
      </w:r>
      <w:r w:rsidR="009364F2">
        <w:rPr>
          <w:rFonts w:ascii="Times New Roman" w:hAnsi="Times New Roman" w:cs="Times New Roman"/>
        </w:rPr>
        <w:t xml:space="preserve">state-based </w:t>
      </w:r>
      <w:r w:rsidRPr="00F209DC">
        <w:rPr>
          <w:rFonts w:ascii="Times New Roman" w:hAnsi="Times New Roman" w:cs="Times New Roman"/>
        </w:rPr>
        <w:t>estimates for cattle producers in Colorado, due to a larger sample size.</w:t>
      </w:r>
    </w:p>
  </w:footnote>
  <w:footnote w:id="2">
    <w:p w14:paraId="1CC42739" w14:textId="7CFDED05" w:rsidR="00EF6794" w:rsidRPr="00EF6794" w:rsidRDefault="00EF6794">
      <w:pPr>
        <w:pStyle w:val="FootnoteText"/>
        <w:rPr>
          <w:rFonts w:ascii="Times New Roman" w:hAnsi="Times New Roman" w:cs="Times New Roman"/>
        </w:rPr>
      </w:pPr>
      <w:r w:rsidRPr="00EF6794">
        <w:rPr>
          <w:rStyle w:val="FootnoteReference"/>
          <w:rFonts w:ascii="Times New Roman" w:hAnsi="Times New Roman" w:cs="Times New Roman"/>
        </w:rPr>
        <w:footnoteRef/>
      </w:r>
      <w:r w:rsidRPr="00EF6794">
        <w:rPr>
          <w:rFonts w:ascii="Times New Roman" w:hAnsi="Times New Roman" w:cs="Times New Roman"/>
        </w:rPr>
        <w:t xml:space="preserve"> In some cases, data were suppressed due to disclosure issues. These are noted and data has been replaced by the national average for that expense category. </w:t>
      </w:r>
    </w:p>
  </w:footnote>
  <w:footnote w:id="3">
    <w:p w14:paraId="7545EABC" w14:textId="3B80FDFA" w:rsidR="00F608D5" w:rsidRPr="00BC24BE" w:rsidRDefault="00F608D5">
      <w:pPr>
        <w:pStyle w:val="FootnoteText"/>
        <w:rPr>
          <w:rFonts w:ascii="Times New Roman" w:hAnsi="Times New Roman" w:cs="Times New Roman"/>
        </w:rPr>
      </w:pPr>
      <w:r w:rsidRPr="00BC24BE">
        <w:rPr>
          <w:rStyle w:val="FootnoteReference"/>
          <w:rFonts w:ascii="Times New Roman" w:hAnsi="Times New Roman" w:cs="Times New Roman"/>
        </w:rPr>
        <w:footnoteRef/>
      </w:r>
      <w:r w:rsidRPr="00BC24BE">
        <w:rPr>
          <w:rFonts w:ascii="Times New Roman" w:hAnsi="Times New Roman" w:cs="Times New Roman"/>
        </w:rPr>
        <w:t xml:space="preserve"> We present data with these categories both aggregated and disaggregated to see if there are enough differences to keep them apart. In the end, we will just go with one option to present the data.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6D0"/>
    <w:multiLevelType w:val="hybridMultilevel"/>
    <w:tmpl w:val="06E24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1546B"/>
    <w:multiLevelType w:val="hybridMultilevel"/>
    <w:tmpl w:val="A626A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02C19"/>
    <w:multiLevelType w:val="multilevel"/>
    <w:tmpl w:val="FEF0D5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61C28A7"/>
    <w:multiLevelType w:val="multilevel"/>
    <w:tmpl w:val="72A45E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C5178CB"/>
    <w:multiLevelType w:val="hybridMultilevel"/>
    <w:tmpl w:val="C8AC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C499E"/>
    <w:multiLevelType w:val="multilevel"/>
    <w:tmpl w:val="F83C9D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35B5873"/>
    <w:multiLevelType w:val="hybridMultilevel"/>
    <w:tmpl w:val="FC3E6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127302">
    <w:abstractNumId w:val="1"/>
  </w:num>
  <w:num w:numId="2" w16cid:durableId="202256462">
    <w:abstractNumId w:val="6"/>
  </w:num>
  <w:num w:numId="3" w16cid:durableId="2002537729">
    <w:abstractNumId w:val="0"/>
  </w:num>
  <w:num w:numId="4" w16cid:durableId="2051294901">
    <w:abstractNumId w:val="2"/>
  </w:num>
  <w:num w:numId="5" w16cid:durableId="1070348424">
    <w:abstractNumId w:val="3"/>
  </w:num>
  <w:num w:numId="6" w16cid:durableId="298728174">
    <w:abstractNumId w:val="4"/>
  </w:num>
  <w:num w:numId="7" w16cid:durableId="2040350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CC"/>
    <w:rsid w:val="00003C5D"/>
    <w:rsid w:val="00012BBE"/>
    <w:rsid w:val="00025520"/>
    <w:rsid w:val="00026655"/>
    <w:rsid w:val="00036200"/>
    <w:rsid w:val="0005582D"/>
    <w:rsid w:val="000629CB"/>
    <w:rsid w:val="00081E73"/>
    <w:rsid w:val="000B5F7F"/>
    <w:rsid w:val="000B7CAA"/>
    <w:rsid w:val="000D69E2"/>
    <w:rsid w:val="000D7C44"/>
    <w:rsid w:val="000E039E"/>
    <w:rsid w:val="000E727B"/>
    <w:rsid w:val="00105891"/>
    <w:rsid w:val="00116947"/>
    <w:rsid w:val="00124172"/>
    <w:rsid w:val="001634F2"/>
    <w:rsid w:val="00173FD6"/>
    <w:rsid w:val="001805FB"/>
    <w:rsid w:val="001B1315"/>
    <w:rsid w:val="001B1940"/>
    <w:rsid w:val="001B3A06"/>
    <w:rsid w:val="001F1898"/>
    <w:rsid w:val="001F77CA"/>
    <w:rsid w:val="00214FFB"/>
    <w:rsid w:val="00242C84"/>
    <w:rsid w:val="002448B6"/>
    <w:rsid w:val="00262F01"/>
    <w:rsid w:val="00275F8F"/>
    <w:rsid w:val="00276D5C"/>
    <w:rsid w:val="002829FD"/>
    <w:rsid w:val="00293406"/>
    <w:rsid w:val="00295C34"/>
    <w:rsid w:val="002B348A"/>
    <w:rsid w:val="002B63CF"/>
    <w:rsid w:val="002C0F2F"/>
    <w:rsid w:val="002D6495"/>
    <w:rsid w:val="002F3B6D"/>
    <w:rsid w:val="00310F23"/>
    <w:rsid w:val="003312B7"/>
    <w:rsid w:val="00341A43"/>
    <w:rsid w:val="00376113"/>
    <w:rsid w:val="003B032D"/>
    <w:rsid w:val="003C1D92"/>
    <w:rsid w:val="003D1CF1"/>
    <w:rsid w:val="003D3F4E"/>
    <w:rsid w:val="003D7921"/>
    <w:rsid w:val="003F5CCF"/>
    <w:rsid w:val="0040695C"/>
    <w:rsid w:val="00412AC7"/>
    <w:rsid w:val="0043216A"/>
    <w:rsid w:val="004637C1"/>
    <w:rsid w:val="00477128"/>
    <w:rsid w:val="00490733"/>
    <w:rsid w:val="00493757"/>
    <w:rsid w:val="004B7CD4"/>
    <w:rsid w:val="004D09C6"/>
    <w:rsid w:val="005049BD"/>
    <w:rsid w:val="00522308"/>
    <w:rsid w:val="005240EF"/>
    <w:rsid w:val="005371F0"/>
    <w:rsid w:val="0054073E"/>
    <w:rsid w:val="0056787F"/>
    <w:rsid w:val="00570C77"/>
    <w:rsid w:val="005830FC"/>
    <w:rsid w:val="00585D29"/>
    <w:rsid w:val="005A3384"/>
    <w:rsid w:val="005A6987"/>
    <w:rsid w:val="005B1DB3"/>
    <w:rsid w:val="005D0778"/>
    <w:rsid w:val="005D2452"/>
    <w:rsid w:val="005D579A"/>
    <w:rsid w:val="005D7E44"/>
    <w:rsid w:val="00624CCA"/>
    <w:rsid w:val="00635321"/>
    <w:rsid w:val="006416E7"/>
    <w:rsid w:val="006533C9"/>
    <w:rsid w:val="00671F9D"/>
    <w:rsid w:val="006838C1"/>
    <w:rsid w:val="006C0786"/>
    <w:rsid w:val="006C1AB2"/>
    <w:rsid w:val="00727BC3"/>
    <w:rsid w:val="007800C8"/>
    <w:rsid w:val="00780C14"/>
    <w:rsid w:val="00781143"/>
    <w:rsid w:val="007841D9"/>
    <w:rsid w:val="007A07DC"/>
    <w:rsid w:val="007B3089"/>
    <w:rsid w:val="007B7121"/>
    <w:rsid w:val="007C5F6C"/>
    <w:rsid w:val="007E6094"/>
    <w:rsid w:val="00803069"/>
    <w:rsid w:val="008115D6"/>
    <w:rsid w:val="0081224F"/>
    <w:rsid w:val="00826016"/>
    <w:rsid w:val="00855E3E"/>
    <w:rsid w:val="008A268C"/>
    <w:rsid w:val="008A2AAD"/>
    <w:rsid w:val="008A643E"/>
    <w:rsid w:val="008B3F52"/>
    <w:rsid w:val="008C77EC"/>
    <w:rsid w:val="008D31F4"/>
    <w:rsid w:val="008F39B4"/>
    <w:rsid w:val="00912E8F"/>
    <w:rsid w:val="00913E51"/>
    <w:rsid w:val="00930F09"/>
    <w:rsid w:val="00935FBA"/>
    <w:rsid w:val="009364F2"/>
    <w:rsid w:val="00936B2F"/>
    <w:rsid w:val="00950090"/>
    <w:rsid w:val="009554C0"/>
    <w:rsid w:val="0099272D"/>
    <w:rsid w:val="009B2B69"/>
    <w:rsid w:val="009D448B"/>
    <w:rsid w:val="009E7A0F"/>
    <w:rsid w:val="009E7C8F"/>
    <w:rsid w:val="00A01EC9"/>
    <w:rsid w:val="00A245D7"/>
    <w:rsid w:val="00A519BA"/>
    <w:rsid w:val="00AA766E"/>
    <w:rsid w:val="00AB18F7"/>
    <w:rsid w:val="00AC2206"/>
    <w:rsid w:val="00AD7A2E"/>
    <w:rsid w:val="00AE3B5D"/>
    <w:rsid w:val="00AF52A4"/>
    <w:rsid w:val="00AF6406"/>
    <w:rsid w:val="00B0399A"/>
    <w:rsid w:val="00B36088"/>
    <w:rsid w:val="00B616FC"/>
    <w:rsid w:val="00B8741C"/>
    <w:rsid w:val="00B9764C"/>
    <w:rsid w:val="00BA1E17"/>
    <w:rsid w:val="00BA38E4"/>
    <w:rsid w:val="00BA7ACC"/>
    <w:rsid w:val="00BB0E40"/>
    <w:rsid w:val="00BB3CCB"/>
    <w:rsid w:val="00BC24BE"/>
    <w:rsid w:val="00BC2DE8"/>
    <w:rsid w:val="00BC501F"/>
    <w:rsid w:val="00BC789E"/>
    <w:rsid w:val="00BD7FB2"/>
    <w:rsid w:val="00BE0B9E"/>
    <w:rsid w:val="00BF6D35"/>
    <w:rsid w:val="00C04223"/>
    <w:rsid w:val="00C1351C"/>
    <w:rsid w:val="00C332C9"/>
    <w:rsid w:val="00C36EE8"/>
    <w:rsid w:val="00C6328B"/>
    <w:rsid w:val="00C91747"/>
    <w:rsid w:val="00CA38D6"/>
    <w:rsid w:val="00CD7DDE"/>
    <w:rsid w:val="00D12086"/>
    <w:rsid w:val="00D302DE"/>
    <w:rsid w:val="00D6421D"/>
    <w:rsid w:val="00D8161F"/>
    <w:rsid w:val="00DA031A"/>
    <w:rsid w:val="00DA4B94"/>
    <w:rsid w:val="00DB04E2"/>
    <w:rsid w:val="00DC15C8"/>
    <w:rsid w:val="00DC6340"/>
    <w:rsid w:val="00DD2002"/>
    <w:rsid w:val="00DF0B9F"/>
    <w:rsid w:val="00DF3C38"/>
    <w:rsid w:val="00DF72D7"/>
    <w:rsid w:val="00E142A0"/>
    <w:rsid w:val="00E31388"/>
    <w:rsid w:val="00E35B9D"/>
    <w:rsid w:val="00E40F51"/>
    <w:rsid w:val="00E418DC"/>
    <w:rsid w:val="00EA0E5F"/>
    <w:rsid w:val="00EB05C7"/>
    <w:rsid w:val="00EC7B31"/>
    <w:rsid w:val="00EF3A07"/>
    <w:rsid w:val="00EF6794"/>
    <w:rsid w:val="00F15738"/>
    <w:rsid w:val="00F209DC"/>
    <w:rsid w:val="00F47274"/>
    <w:rsid w:val="00F603E4"/>
    <w:rsid w:val="00F608D5"/>
    <w:rsid w:val="00F6766A"/>
    <w:rsid w:val="00F7037B"/>
    <w:rsid w:val="00FE7EA5"/>
    <w:rsid w:val="00FF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01C2"/>
  <w15:chartTrackingRefBased/>
  <w15:docId w15:val="{E0D2BEFF-BBAB-C145-92A2-AE43281E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0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B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E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0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B2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2B69"/>
    <w:rPr>
      <w:color w:val="808080"/>
    </w:rPr>
  </w:style>
  <w:style w:type="character" w:customStyle="1" w:styleId="Heading3Char">
    <w:name w:val="Heading 3 Char"/>
    <w:basedOn w:val="DefaultParagraphFont"/>
    <w:link w:val="Heading3"/>
    <w:uiPriority w:val="9"/>
    <w:rsid w:val="00A01EC9"/>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5B1DB3"/>
    <w:rPr>
      <w:sz w:val="16"/>
      <w:szCs w:val="16"/>
    </w:rPr>
  </w:style>
  <w:style w:type="paragraph" w:styleId="CommentText">
    <w:name w:val="annotation text"/>
    <w:basedOn w:val="Normal"/>
    <w:link w:val="CommentTextChar"/>
    <w:uiPriority w:val="99"/>
    <w:semiHidden/>
    <w:unhideWhenUsed/>
    <w:rsid w:val="005B1DB3"/>
    <w:rPr>
      <w:sz w:val="20"/>
      <w:szCs w:val="20"/>
    </w:rPr>
  </w:style>
  <w:style w:type="character" w:customStyle="1" w:styleId="CommentTextChar">
    <w:name w:val="Comment Text Char"/>
    <w:basedOn w:val="DefaultParagraphFont"/>
    <w:link w:val="CommentText"/>
    <w:uiPriority w:val="99"/>
    <w:semiHidden/>
    <w:rsid w:val="005B1DB3"/>
    <w:rPr>
      <w:sz w:val="20"/>
      <w:szCs w:val="20"/>
    </w:rPr>
  </w:style>
  <w:style w:type="paragraph" w:styleId="CommentSubject">
    <w:name w:val="annotation subject"/>
    <w:basedOn w:val="CommentText"/>
    <w:next w:val="CommentText"/>
    <w:link w:val="CommentSubjectChar"/>
    <w:uiPriority w:val="99"/>
    <w:semiHidden/>
    <w:unhideWhenUsed/>
    <w:rsid w:val="005B1DB3"/>
    <w:rPr>
      <w:b/>
      <w:bCs/>
    </w:rPr>
  </w:style>
  <w:style w:type="character" w:customStyle="1" w:styleId="CommentSubjectChar">
    <w:name w:val="Comment Subject Char"/>
    <w:basedOn w:val="CommentTextChar"/>
    <w:link w:val="CommentSubject"/>
    <w:uiPriority w:val="99"/>
    <w:semiHidden/>
    <w:rsid w:val="005B1DB3"/>
    <w:rPr>
      <w:b/>
      <w:bCs/>
      <w:sz w:val="20"/>
      <w:szCs w:val="20"/>
    </w:rPr>
  </w:style>
  <w:style w:type="paragraph" w:styleId="ListParagraph">
    <w:name w:val="List Paragraph"/>
    <w:basedOn w:val="Normal"/>
    <w:uiPriority w:val="34"/>
    <w:qFormat/>
    <w:rsid w:val="00412AC7"/>
    <w:pPr>
      <w:ind w:left="720"/>
      <w:contextualSpacing/>
    </w:pPr>
  </w:style>
  <w:style w:type="paragraph" w:styleId="NormalWeb">
    <w:name w:val="Normal (Web)"/>
    <w:basedOn w:val="Normal"/>
    <w:uiPriority w:val="99"/>
    <w:semiHidden/>
    <w:unhideWhenUsed/>
    <w:rsid w:val="00AF52A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A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30FC"/>
  </w:style>
  <w:style w:type="paragraph" w:styleId="FootnoteText">
    <w:name w:val="footnote text"/>
    <w:basedOn w:val="Normal"/>
    <w:link w:val="FootnoteTextChar"/>
    <w:uiPriority w:val="99"/>
    <w:semiHidden/>
    <w:unhideWhenUsed/>
    <w:rsid w:val="00262F01"/>
    <w:rPr>
      <w:sz w:val="20"/>
      <w:szCs w:val="20"/>
    </w:rPr>
  </w:style>
  <w:style w:type="character" w:customStyle="1" w:styleId="FootnoteTextChar">
    <w:name w:val="Footnote Text Char"/>
    <w:basedOn w:val="DefaultParagraphFont"/>
    <w:link w:val="FootnoteText"/>
    <w:uiPriority w:val="99"/>
    <w:semiHidden/>
    <w:rsid w:val="00262F01"/>
    <w:rPr>
      <w:sz w:val="20"/>
      <w:szCs w:val="20"/>
    </w:rPr>
  </w:style>
  <w:style w:type="character" w:styleId="FootnoteReference">
    <w:name w:val="footnote reference"/>
    <w:basedOn w:val="DefaultParagraphFont"/>
    <w:uiPriority w:val="99"/>
    <w:semiHidden/>
    <w:unhideWhenUsed/>
    <w:rsid w:val="00262F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38151">
      <w:bodyDiv w:val="1"/>
      <w:marLeft w:val="0"/>
      <w:marRight w:val="0"/>
      <w:marTop w:val="0"/>
      <w:marBottom w:val="0"/>
      <w:divBdr>
        <w:top w:val="none" w:sz="0" w:space="0" w:color="auto"/>
        <w:left w:val="none" w:sz="0" w:space="0" w:color="auto"/>
        <w:bottom w:val="none" w:sz="0" w:space="0" w:color="auto"/>
        <w:right w:val="none" w:sz="0" w:space="0" w:color="auto"/>
      </w:divBdr>
      <w:divsChild>
        <w:div w:id="2124764707">
          <w:marLeft w:val="0"/>
          <w:marRight w:val="0"/>
          <w:marTop w:val="0"/>
          <w:marBottom w:val="0"/>
          <w:divBdr>
            <w:top w:val="none" w:sz="0" w:space="0" w:color="auto"/>
            <w:left w:val="none" w:sz="0" w:space="0" w:color="auto"/>
            <w:bottom w:val="none" w:sz="0" w:space="0" w:color="auto"/>
            <w:right w:val="none" w:sz="0" w:space="0" w:color="auto"/>
          </w:divBdr>
          <w:divsChild>
            <w:div w:id="1693990816">
              <w:marLeft w:val="0"/>
              <w:marRight w:val="0"/>
              <w:marTop w:val="0"/>
              <w:marBottom w:val="0"/>
              <w:divBdr>
                <w:top w:val="none" w:sz="0" w:space="0" w:color="auto"/>
                <w:left w:val="none" w:sz="0" w:space="0" w:color="auto"/>
                <w:bottom w:val="none" w:sz="0" w:space="0" w:color="auto"/>
                <w:right w:val="none" w:sz="0" w:space="0" w:color="auto"/>
              </w:divBdr>
              <w:divsChild>
                <w:div w:id="1492480284">
                  <w:marLeft w:val="0"/>
                  <w:marRight w:val="0"/>
                  <w:marTop w:val="0"/>
                  <w:marBottom w:val="0"/>
                  <w:divBdr>
                    <w:top w:val="none" w:sz="0" w:space="0" w:color="auto"/>
                    <w:left w:val="none" w:sz="0" w:space="0" w:color="auto"/>
                    <w:bottom w:val="none" w:sz="0" w:space="0" w:color="auto"/>
                    <w:right w:val="none" w:sz="0" w:space="0" w:color="auto"/>
                  </w:divBdr>
                  <w:divsChild>
                    <w:div w:id="970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07212">
      <w:bodyDiv w:val="1"/>
      <w:marLeft w:val="0"/>
      <w:marRight w:val="0"/>
      <w:marTop w:val="0"/>
      <w:marBottom w:val="0"/>
      <w:divBdr>
        <w:top w:val="none" w:sz="0" w:space="0" w:color="auto"/>
        <w:left w:val="none" w:sz="0" w:space="0" w:color="auto"/>
        <w:bottom w:val="none" w:sz="0" w:space="0" w:color="auto"/>
        <w:right w:val="none" w:sz="0" w:space="0" w:color="auto"/>
      </w:divBdr>
      <w:divsChild>
        <w:div w:id="2080470823">
          <w:marLeft w:val="0"/>
          <w:marRight w:val="0"/>
          <w:marTop w:val="0"/>
          <w:marBottom w:val="0"/>
          <w:divBdr>
            <w:top w:val="none" w:sz="0" w:space="0" w:color="auto"/>
            <w:left w:val="none" w:sz="0" w:space="0" w:color="auto"/>
            <w:bottom w:val="none" w:sz="0" w:space="0" w:color="auto"/>
            <w:right w:val="none" w:sz="0" w:space="0" w:color="auto"/>
          </w:divBdr>
          <w:divsChild>
            <w:div w:id="1656179440">
              <w:marLeft w:val="0"/>
              <w:marRight w:val="0"/>
              <w:marTop w:val="0"/>
              <w:marBottom w:val="0"/>
              <w:divBdr>
                <w:top w:val="none" w:sz="0" w:space="0" w:color="auto"/>
                <w:left w:val="none" w:sz="0" w:space="0" w:color="auto"/>
                <w:bottom w:val="none" w:sz="0" w:space="0" w:color="auto"/>
                <w:right w:val="none" w:sz="0" w:space="0" w:color="auto"/>
              </w:divBdr>
              <w:divsChild>
                <w:div w:id="663436828">
                  <w:marLeft w:val="0"/>
                  <w:marRight w:val="0"/>
                  <w:marTop w:val="0"/>
                  <w:marBottom w:val="0"/>
                  <w:divBdr>
                    <w:top w:val="none" w:sz="0" w:space="0" w:color="auto"/>
                    <w:left w:val="none" w:sz="0" w:space="0" w:color="auto"/>
                    <w:bottom w:val="none" w:sz="0" w:space="0" w:color="auto"/>
                    <w:right w:val="none" w:sz="0" w:space="0" w:color="auto"/>
                  </w:divBdr>
                  <w:divsChild>
                    <w:div w:id="1081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3395">
      <w:bodyDiv w:val="1"/>
      <w:marLeft w:val="0"/>
      <w:marRight w:val="0"/>
      <w:marTop w:val="0"/>
      <w:marBottom w:val="0"/>
      <w:divBdr>
        <w:top w:val="none" w:sz="0" w:space="0" w:color="auto"/>
        <w:left w:val="none" w:sz="0" w:space="0" w:color="auto"/>
        <w:bottom w:val="none" w:sz="0" w:space="0" w:color="auto"/>
        <w:right w:val="none" w:sz="0" w:space="0" w:color="auto"/>
      </w:divBdr>
      <w:divsChild>
        <w:div w:id="1062366751">
          <w:marLeft w:val="0"/>
          <w:marRight w:val="0"/>
          <w:marTop w:val="0"/>
          <w:marBottom w:val="0"/>
          <w:divBdr>
            <w:top w:val="none" w:sz="0" w:space="0" w:color="auto"/>
            <w:left w:val="none" w:sz="0" w:space="0" w:color="auto"/>
            <w:bottom w:val="none" w:sz="0" w:space="0" w:color="auto"/>
            <w:right w:val="none" w:sz="0" w:space="0" w:color="auto"/>
          </w:divBdr>
          <w:divsChild>
            <w:div w:id="124197594">
              <w:marLeft w:val="0"/>
              <w:marRight w:val="0"/>
              <w:marTop w:val="0"/>
              <w:marBottom w:val="0"/>
              <w:divBdr>
                <w:top w:val="none" w:sz="0" w:space="0" w:color="auto"/>
                <w:left w:val="none" w:sz="0" w:space="0" w:color="auto"/>
                <w:bottom w:val="none" w:sz="0" w:space="0" w:color="auto"/>
                <w:right w:val="none" w:sz="0" w:space="0" w:color="auto"/>
              </w:divBdr>
              <w:divsChild>
                <w:div w:id="950014737">
                  <w:marLeft w:val="0"/>
                  <w:marRight w:val="0"/>
                  <w:marTop w:val="0"/>
                  <w:marBottom w:val="0"/>
                  <w:divBdr>
                    <w:top w:val="none" w:sz="0" w:space="0" w:color="auto"/>
                    <w:left w:val="none" w:sz="0" w:space="0" w:color="auto"/>
                    <w:bottom w:val="none" w:sz="0" w:space="0" w:color="auto"/>
                    <w:right w:val="none" w:sz="0" w:space="0" w:color="auto"/>
                  </w:divBdr>
                  <w:divsChild>
                    <w:div w:id="3826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41274">
      <w:bodyDiv w:val="1"/>
      <w:marLeft w:val="0"/>
      <w:marRight w:val="0"/>
      <w:marTop w:val="0"/>
      <w:marBottom w:val="0"/>
      <w:divBdr>
        <w:top w:val="none" w:sz="0" w:space="0" w:color="auto"/>
        <w:left w:val="none" w:sz="0" w:space="0" w:color="auto"/>
        <w:bottom w:val="none" w:sz="0" w:space="0" w:color="auto"/>
        <w:right w:val="none" w:sz="0" w:space="0" w:color="auto"/>
      </w:divBdr>
      <w:divsChild>
        <w:div w:id="1790975173">
          <w:marLeft w:val="0"/>
          <w:marRight w:val="0"/>
          <w:marTop w:val="0"/>
          <w:marBottom w:val="0"/>
          <w:divBdr>
            <w:top w:val="none" w:sz="0" w:space="0" w:color="auto"/>
            <w:left w:val="none" w:sz="0" w:space="0" w:color="auto"/>
            <w:bottom w:val="none" w:sz="0" w:space="0" w:color="auto"/>
            <w:right w:val="none" w:sz="0" w:space="0" w:color="auto"/>
          </w:divBdr>
          <w:divsChild>
            <w:div w:id="71127949">
              <w:marLeft w:val="0"/>
              <w:marRight w:val="0"/>
              <w:marTop w:val="0"/>
              <w:marBottom w:val="0"/>
              <w:divBdr>
                <w:top w:val="none" w:sz="0" w:space="0" w:color="auto"/>
                <w:left w:val="none" w:sz="0" w:space="0" w:color="auto"/>
                <w:bottom w:val="none" w:sz="0" w:space="0" w:color="auto"/>
                <w:right w:val="none" w:sz="0" w:space="0" w:color="auto"/>
              </w:divBdr>
              <w:divsChild>
                <w:div w:id="1014957870">
                  <w:marLeft w:val="0"/>
                  <w:marRight w:val="0"/>
                  <w:marTop w:val="0"/>
                  <w:marBottom w:val="0"/>
                  <w:divBdr>
                    <w:top w:val="none" w:sz="0" w:space="0" w:color="auto"/>
                    <w:left w:val="none" w:sz="0" w:space="0" w:color="auto"/>
                    <w:bottom w:val="none" w:sz="0" w:space="0" w:color="auto"/>
                    <w:right w:val="none" w:sz="0" w:space="0" w:color="auto"/>
                  </w:divBdr>
                  <w:divsChild>
                    <w:div w:id="13882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72354">
      <w:bodyDiv w:val="1"/>
      <w:marLeft w:val="0"/>
      <w:marRight w:val="0"/>
      <w:marTop w:val="0"/>
      <w:marBottom w:val="0"/>
      <w:divBdr>
        <w:top w:val="none" w:sz="0" w:space="0" w:color="auto"/>
        <w:left w:val="none" w:sz="0" w:space="0" w:color="auto"/>
        <w:bottom w:val="none" w:sz="0" w:space="0" w:color="auto"/>
        <w:right w:val="none" w:sz="0" w:space="0" w:color="auto"/>
      </w:divBdr>
      <w:divsChild>
        <w:div w:id="691883819">
          <w:marLeft w:val="0"/>
          <w:marRight w:val="0"/>
          <w:marTop w:val="0"/>
          <w:marBottom w:val="0"/>
          <w:divBdr>
            <w:top w:val="none" w:sz="0" w:space="0" w:color="auto"/>
            <w:left w:val="none" w:sz="0" w:space="0" w:color="auto"/>
            <w:bottom w:val="none" w:sz="0" w:space="0" w:color="auto"/>
            <w:right w:val="none" w:sz="0" w:space="0" w:color="auto"/>
          </w:divBdr>
          <w:divsChild>
            <w:div w:id="1375155295">
              <w:marLeft w:val="0"/>
              <w:marRight w:val="0"/>
              <w:marTop w:val="0"/>
              <w:marBottom w:val="0"/>
              <w:divBdr>
                <w:top w:val="none" w:sz="0" w:space="0" w:color="auto"/>
                <w:left w:val="none" w:sz="0" w:space="0" w:color="auto"/>
                <w:bottom w:val="none" w:sz="0" w:space="0" w:color="auto"/>
                <w:right w:val="none" w:sz="0" w:space="0" w:color="auto"/>
              </w:divBdr>
              <w:divsChild>
                <w:div w:id="668213973">
                  <w:marLeft w:val="0"/>
                  <w:marRight w:val="0"/>
                  <w:marTop w:val="0"/>
                  <w:marBottom w:val="0"/>
                  <w:divBdr>
                    <w:top w:val="none" w:sz="0" w:space="0" w:color="auto"/>
                    <w:left w:val="none" w:sz="0" w:space="0" w:color="auto"/>
                    <w:bottom w:val="none" w:sz="0" w:space="0" w:color="auto"/>
                    <w:right w:val="none" w:sz="0" w:space="0" w:color="auto"/>
                  </w:divBdr>
                  <w:divsChild>
                    <w:div w:id="422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DFF2C-2990-D64B-B511-71FD1100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Bauman,Allie</cp:lastModifiedBy>
  <cp:revision>39</cp:revision>
  <dcterms:created xsi:type="dcterms:W3CDTF">2022-06-10T20:32:00Z</dcterms:created>
  <dcterms:modified xsi:type="dcterms:W3CDTF">2023-05-25T15:57:00Z</dcterms:modified>
</cp:coreProperties>
</file>