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22.png" ContentType="image/png"/>
  <Override PartName="/word/media/rId44.png" ContentType="image/png"/>
  <Override PartName="/word/media/rId4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Leafy</w:t>
      </w:r>
      <w:r>
        <w:t xml:space="preserve"> </w:t>
      </w:r>
      <w:r>
        <w:t xml:space="preserve">Greens</w:t>
      </w:r>
      <w:r>
        <w:t xml:space="preserve"> </w:t>
      </w:r>
      <w:r>
        <w:t xml:space="preserve">Focus</w:t>
      </w:r>
      <w:r>
        <w:t xml:space="preserve"> </w:t>
      </w:r>
      <w:r>
        <w:t xml:space="preserve">Group,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description"/>
    <w:p>
      <w:pPr>
        <w:pStyle w:val="Heading1"/>
      </w:pPr>
      <w:r>
        <w:t xml:space="preserve">1. Data Description</w:t>
      </w:r>
    </w:p>
    <w:p>
      <w:pPr>
        <w:pStyle w:val="FirstParagraph"/>
      </w:pPr>
      <w:r>
        <w:t xml:space="preserve">We use data compiled from the 2022 restricted access farm-level data from the Census of Agriculture. All dollars are reported in 2022 dollars.</w:t>
      </w:r>
    </w:p>
    <w:p>
      <w:pPr>
        <w:pStyle w:val="BodyText"/>
      </w:pPr>
      <w:r>
        <w:t xml:space="preserve">We include operations with leafy green production in New York. Where leafy green operations are defined as those operations with positive harvested acres of:</w:t>
      </w:r>
    </w:p>
    <w:p>
      <w:pPr>
        <w:numPr>
          <w:ilvl w:val="0"/>
          <w:numId w:val="1001"/>
        </w:numPr>
        <w:pStyle w:val="Compact"/>
      </w:pPr>
      <w:r>
        <w:t xml:space="preserve">Cabbage, Chinese, Harvested, Tenth-Acres</w:t>
      </w:r>
    </w:p>
    <w:p>
      <w:pPr>
        <w:numPr>
          <w:ilvl w:val="0"/>
          <w:numId w:val="1001"/>
        </w:numPr>
        <w:pStyle w:val="Compact"/>
      </w:pPr>
      <w:r>
        <w:t xml:space="preserve">Collards Harvested, Tenth-Acres</w:t>
      </w:r>
    </w:p>
    <w:p>
      <w:pPr>
        <w:numPr>
          <w:ilvl w:val="0"/>
          <w:numId w:val="1001"/>
        </w:numPr>
        <w:pStyle w:val="Compact"/>
      </w:pPr>
      <w:r>
        <w:t xml:space="preserve">Kale Harvested, Tenth-Acres</w:t>
      </w:r>
    </w:p>
    <w:p>
      <w:pPr>
        <w:numPr>
          <w:ilvl w:val="0"/>
          <w:numId w:val="1001"/>
        </w:numPr>
        <w:pStyle w:val="Compact"/>
      </w:pPr>
      <w:r>
        <w:t xml:space="preserve">Lettuce, Head, Harvested, Tenth-Acres</w:t>
      </w:r>
    </w:p>
    <w:p>
      <w:pPr>
        <w:numPr>
          <w:ilvl w:val="0"/>
          <w:numId w:val="1001"/>
        </w:numPr>
        <w:pStyle w:val="Compact"/>
      </w:pPr>
      <w:r>
        <w:t xml:space="preserve">Lettuce, Leaf, Harvested, Tenth-Acres</w:t>
      </w:r>
    </w:p>
    <w:p>
      <w:pPr>
        <w:numPr>
          <w:ilvl w:val="0"/>
          <w:numId w:val="1001"/>
        </w:numPr>
        <w:pStyle w:val="Compact"/>
      </w:pPr>
      <w:r>
        <w:t xml:space="preserve">Lettuce, Romaine, Harvested, Tenth-Acres</w:t>
      </w:r>
    </w:p>
    <w:p>
      <w:pPr>
        <w:numPr>
          <w:ilvl w:val="0"/>
          <w:numId w:val="1001"/>
        </w:numPr>
        <w:pStyle w:val="Compact"/>
      </w:pPr>
      <w:r>
        <w:t xml:space="preserve">Mustard Greens Harvested, Tenth-Acres</w:t>
      </w:r>
    </w:p>
    <w:p>
      <w:pPr>
        <w:numPr>
          <w:ilvl w:val="0"/>
          <w:numId w:val="1001"/>
        </w:numPr>
        <w:pStyle w:val="Compact"/>
      </w:pPr>
      <w:r>
        <w:t xml:space="preserve">Spinach Harvested, Tenth-Acres</w:t>
      </w:r>
    </w:p>
    <w:p>
      <w:pPr>
        <w:pStyle w:val="FirstParagraph"/>
      </w:pPr>
      <w:r>
        <w:t xml:space="preserve">Data are grouped by operations with certified organic production and those with conventional production.</w:t>
      </w:r>
    </w:p>
    <w:p>
      <w:pPr>
        <w:pStyle w:val="BodyText"/>
      </w:pPr>
      <w:r>
        <w:t xml:space="preserve">Tables:</w:t>
      </w:r>
    </w:p>
    <w:p>
      <w:pPr>
        <w:numPr>
          <w:ilvl w:val="0"/>
          <w:numId w:val="1002"/>
        </w:numPr>
        <w:pStyle w:val="Compact"/>
      </w:pPr>
      <w:r>
        <w:t xml:space="preserve">Average producer summary statistics</w:t>
      </w:r>
    </w:p>
    <w:p>
      <w:pPr>
        <w:numPr>
          <w:ilvl w:val="0"/>
          <w:numId w:val="1002"/>
        </w:numPr>
        <w:pStyle w:val="Compact"/>
      </w:pPr>
      <w:r>
        <w:t xml:space="preserve">Variable expenses</w:t>
      </w:r>
    </w:p>
    <w:p>
      <w:pPr>
        <w:numPr>
          <w:ilvl w:val="0"/>
          <w:numId w:val="1002"/>
        </w:numPr>
        <w:pStyle w:val="Compact"/>
      </w:pPr>
      <w:r>
        <w:t xml:space="preserve">Fixed expenses</w:t>
      </w:r>
    </w:p>
    <w:p>
      <w:pPr>
        <w:numPr>
          <w:ilvl w:val="0"/>
          <w:numId w:val="1002"/>
        </w:numPr>
        <w:pStyle w:val="Compact"/>
      </w:pPr>
      <w:r>
        <w:t xml:space="preserve">Profitability</w:t>
      </w:r>
    </w:p>
    <w:p>
      <w:pPr>
        <w:numPr>
          <w:ilvl w:val="0"/>
          <w:numId w:val="1002"/>
        </w:numPr>
        <w:pStyle w:val="Compact"/>
      </w:pPr>
      <w:r>
        <w:t xml:space="preserve">Production practices</w:t>
      </w:r>
    </w:p>
    <w:p>
      <w:pPr>
        <w:pStyle w:val="FirstParagraph"/>
      </w:pPr>
      <w:r>
        <w:t xml:space="preserve">Figures: - Gross cash farm income - Variable expenses as a percent of total variable expense - Fixed expenses as a percent of total fixed expense</w:t>
      </w:r>
    </w:p>
    <w:p>
      <w:pPr>
        <w:pStyle w:val="BodyText"/>
      </w:pPr>
      <w:r>
        <w:t xml:space="preserve">Notes: We do not want to include operations that are greenhouse only. Operations with more than 1/2 acre production are very unlikely to have high tunnels and we assume they are a greenhouse operation, these operations are not included in the analysis.</w:t>
      </w:r>
    </w:p>
    <w:p>
      <w:r>
        <w:br w:type="page"/>
      </w:r>
    </w:p>
    <w:bookmarkEnd w:id="20"/>
    <w:bookmarkStart w:id="26" w:name="average-producer-summary-statistics"/>
    <w:p>
      <w:pPr>
        <w:pStyle w:val="Heading1"/>
      </w:pPr>
      <w:r>
        <w:t xml:space="preserve">2. Average producer summary statistics</w:t>
      </w:r>
    </w:p>
    <w:p>
      <w:pPr>
        <w:numPr>
          <w:ilvl w:val="0"/>
          <w:numId w:val="1003"/>
        </w:numPr>
        <w:pStyle w:val="Compact"/>
      </w:pPr>
      <w:r>
        <w:t xml:space="preserve">Gross cash farm income (GCFI) (includes total sales and government payments)</w:t>
      </w:r>
    </w:p>
    <w:p>
      <w:pPr>
        <w:numPr>
          <w:ilvl w:val="0"/>
          <w:numId w:val="1003"/>
        </w:numPr>
        <w:pStyle w:val="Compact"/>
      </w:pPr>
      <w:r>
        <w:t xml:space="preserve">Total sales</w:t>
      </w:r>
    </w:p>
    <w:p>
      <w:pPr>
        <w:numPr>
          <w:ilvl w:val="0"/>
          <w:numId w:val="1003"/>
        </w:numPr>
        <w:pStyle w:val="Compact"/>
      </w:pPr>
      <w:r>
        <w:t xml:space="preserve">Total vegetable sales</w:t>
      </w:r>
    </w:p>
    <w:p>
      <w:pPr>
        <w:numPr>
          <w:ilvl w:val="0"/>
          <w:numId w:val="1003"/>
        </w:numPr>
        <w:pStyle w:val="Compact"/>
      </w:pPr>
      <w:r>
        <w:t xml:space="preserve">Total acres operated</w:t>
      </w:r>
    </w:p>
    <w:p>
      <w:pPr>
        <w:numPr>
          <w:ilvl w:val="0"/>
          <w:numId w:val="1003"/>
        </w:numPr>
        <w:pStyle w:val="Compact"/>
      </w:pPr>
      <w:r>
        <w:t xml:space="preserve">10th acre harvested for leafy greens</w:t>
      </w:r>
    </w:p>
    <w:p>
      <w:pPr>
        <w:numPr>
          <w:ilvl w:val="0"/>
          <w:numId w:val="1003"/>
        </w:numPr>
        <w:pStyle w:val="Compact"/>
      </w:pPr>
      <w:r>
        <w:t xml:space="preserve">Primary commodity</w:t>
      </w:r>
    </w:p>
    <w:p>
      <w:pPr>
        <w:numPr>
          <w:ilvl w:val="0"/>
          <w:numId w:val="1003"/>
        </w:numPr>
        <w:pStyle w:val="Compact"/>
      </w:pPr>
      <w:r>
        <w:t xml:space="preserve">Land tenure (full owner, part owner, full tenant)</w:t>
      </w:r>
    </w:p>
    <w:p>
      <w:pPr>
        <w:numPr>
          <w:ilvl w:val="0"/>
          <w:numId w:val="1003"/>
        </w:numPr>
        <w:pStyle w:val="Compact"/>
      </w:pPr>
      <w:r>
        <w:t xml:space="preserve">Beginning (any operator has 10 years or less experience)</w:t>
      </w:r>
    </w:p>
    <w:bookmarkStart w:id="21" w:name="X3b83aa496500563b201b86b607011c894c9e811"/>
    <w:p>
      <w:pPr>
        <w:pStyle w:val="Heading2"/>
      </w:pPr>
      <w:r>
        <w:t xml:space="preserve">2.1 Average producer summary statistics- Leafy green farmers</w:t>
      </w:r>
    </w:p>
    <w:tbl>
      <w:tblPr>
        <w:tblStyle w:val="Table"/>
        <w:tblW w:type="auto" w:w="0"/>
        <w:tblLook w:firstRow="1" w:lastRow="1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Conventional (n=609)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Organic (n=172)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208,654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226,911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Gross cash farm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229,724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234,173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vegetable 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207,240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226,911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acres operated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 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Federal crop 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Recieves government payments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10th acres of leafy greens harvested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10th acres of cabbage harvested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Beginning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commodity: Field crop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commodity: Fruit/veg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commodity: Other crops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commodity: Livestock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commodity: Dairy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commodity: Poultry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commodity: Other animal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All dollar amounts are in 2022 dollars. Primary commodity: Other crops includes hay, nursery, greenhouse, christmas trees, woody crops, and other crops.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1"/>
    <w:bookmarkStart w:id="25" w:name="X7147911d6a5fb15bba45185eee8056e21b5b841"/>
    <w:p>
      <w:pPr>
        <w:pStyle w:val="Heading2"/>
      </w:pPr>
      <w:r>
        <w:t xml:space="preserve">2.2 Percent of New York leafy green operations by scale (gross cash farm income)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572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02.leafy_greens_COA_focusgroup_files/figure-docx/gcfi_bar_green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"/>
    <w:bookmarkEnd w:id="26"/>
    <w:bookmarkStart w:id="32" w:name="variable-production-expenses"/>
    <w:p>
      <w:pPr>
        <w:pStyle w:val="Heading1"/>
      </w:pPr>
      <w:r>
        <w:t xml:space="preserve">3. Variable production expenses</w:t>
      </w:r>
    </w:p>
    <w:p>
      <w:pPr>
        <w:pStyle w:val="FirstParagraph"/>
      </w:pPr>
      <w:r>
        <w:t xml:space="preserve">Shown as a total and as a percent of total variable expense.</w:t>
      </w:r>
    </w:p>
    <w:p>
      <w:pPr>
        <w:numPr>
          <w:ilvl w:val="0"/>
          <w:numId w:val="1004"/>
        </w:numPr>
        <w:pStyle w:val="Compact"/>
      </w:pPr>
      <w:r>
        <w:t xml:space="preserve">Breeding stock, other livestock purchased or leased</w:t>
      </w:r>
    </w:p>
    <w:p>
      <w:pPr>
        <w:numPr>
          <w:ilvl w:val="0"/>
          <w:numId w:val="1004"/>
        </w:numPr>
        <w:pStyle w:val="Compact"/>
      </w:pPr>
      <w:r>
        <w:t xml:space="preserve">Chemical expense</w:t>
      </w:r>
    </w:p>
    <w:p>
      <w:pPr>
        <w:numPr>
          <w:ilvl w:val="0"/>
          <w:numId w:val="1004"/>
        </w:numPr>
        <w:pStyle w:val="Compact"/>
      </w:pPr>
      <w:r>
        <w:t xml:space="preserve">Customwork expense</w:t>
      </w:r>
    </w:p>
    <w:p>
      <w:pPr>
        <w:numPr>
          <w:ilvl w:val="0"/>
          <w:numId w:val="1004"/>
        </w:numPr>
        <w:pStyle w:val="Compact"/>
      </w:pPr>
      <w:r>
        <w:t xml:space="preserve">Feed expense</w:t>
      </w:r>
    </w:p>
    <w:p>
      <w:pPr>
        <w:numPr>
          <w:ilvl w:val="0"/>
          <w:numId w:val="1004"/>
        </w:numPr>
        <w:pStyle w:val="Compact"/>
      </w:pPr>
      <w:r>
        <w:t xml:space="preserve">Fertilizer expense</w:t>
      </w:r>
    </w:p>
    <w:p>
      <w:pPr>
        <w:numPr>
          <w:ilvl w:val="0"/>
          <w:numId w:val="1004"/>
        </w:numPr>
        <w:pStyle w:val="Compact"/>
      </w:pPr>
      <w:r>
        <w:t xml:space="preserve">Gas, fuel, oil expense</w:t>
      </w:r>
    </w:p>
    <w:p>
      <w:pPr>
        <w:numPr>
          <w:ilvl w:val="0"/>
          <w:numId w:val="1004"/>
        </w:numPr>
        <w:pStyle w:val="Compact"/>
      </w:pPr>
      <w:r>
        <w:t xml:space="preserve">Hired and contract labor expense</w:t>
      </w:r>
    </w:p>
    <w:p>
      <w:pPr>
        <w:numPr>
          <w:ilvl w:val="0"/>
          <w:numId w:val="1004"/>
        </w:numPr>
        <w:pStyle w:val="Compact"/>
      </w:pPr>
      <w:r>
        <w:t xml:space="preserve">Repairs and maintenance expense</w:t>
      </w:r>
    </w:p>
    <w:p>
      <w:pPr>
        <w:numPr>
          <w:ilvl w:val="0"/>
          <w:numId w:val="1004"/>
        </w:numPr>
        <w:pStyle w:val="Compact"/>
      </w:pPr>
      <w:r>
        <w:t xml:space="preserve">Other production expenses (Include storage and warehousing, marketing expenses, insurance, etc. Exclude health insurance premiums and payroll taxes)</w:t>
      </w:r>
    </w:p>
    <w:p>
      <w:pPr>
        <w:numPr>
          <w:ilvl w:val="0"/>
          <w:numId w:val="1004"/>
        </w:numPr>
        <w:pStyle w:val="Compact"/>
      </w:pPr>
      <w:r>
        <w:t xml:space="preserve">Seeds and plants expense</w:t>
      </w:r>
    </w:p>
    <w:p>
      <w:pPr>
        <w:numPr>
          <w:ilvl w:val="0"/>
          <w:numId w:val="1004"/>
        </w:numPr>
        <w:pStyle w:val="Compact"/>
      </w:pPr>
      <w:r>
        <w:t xml:space="preserve">Utilities expense</w:t>
      </w:r>
    </w:p>
    <w:p>
      <w:pPr>
        <w:numPr>
          <w:ilvl w:val="0"/>
          <w:numId w:val="1004"/>
        </w:numPr>
        <w:pStyle w:val="Compact"/>
      </w:pPr>
      <w:r>
        <w:t xml:space="preserve">Total variable expense</w:t>
      </w:r>
    </w:p>
    <w:p>
      <w:r>
        <w:br w:type="page"/>
      </w:r>
    </w:p>
    <w:bookmarkStart w:id="27" w:name="X22b5cd27050eb29f308ce26e5e3035fe23d60e1"/>
    <w:p>
      <w:pPr>
        <w:pStyle w:val="Heading2"/>
      </w:pPr>
      <w:r>
        <w:t xml:space="preserve">3.1 Variable expenses - Leafy Green operations</w:t>
      </w:r>
    </w:p>
    <w:tbl>
      <w:tblPr>
        <w:tblStyle w:val="Table"/>
        <w:tblW w:type="auto" w:w="0"/>
        <w:tblLook w:firstRow="1" w:lastRow="1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Conventional (n=609)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Organic (n=172)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 (509)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2,758 (1,199)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Breeding livestock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1,124 (228)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 (538)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2,756 (583)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5,170 (1,371)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6,013 (785)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6,757 (1,848)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Fuel and 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8,354 (1,062)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7,918 (2,499)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Seeds and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10,126 (1,987)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14,154 (4,678)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Maintenance and repair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19,925 (4,652)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13,952 (10,950)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Fertilizer and chemicals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20,052 (4,912)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22,430 (11,563)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Hired and contract labor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80,484 (13,975)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118,208 (32,894)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variable expenses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149,341 (22,895)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192,375 (53,892)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Customwork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(1%)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Breeding livestock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(1%)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 (2%)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 (1%)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Fuel and oil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 (1%)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Fertilizers and chemicals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 (2%)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Seeds and plants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 (2%)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Maintenance and repair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 (2%)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Hired and contract labor as a percent of total variable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37% (3%)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Mean (SE). Expenses are in 2022 dollars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31" w:name="X4a4fbf68a7ab6c883de10bb12f23050bac86bf1"/>
    <w:p>
      <w:pPr>
        <w:pStyle w:val="Heading2"/>
      </w:pPr>
      <w:r>
        <w:t xml:space="preserve">3.2 Variable expenses as a percent of total variable expense - Leafy Green operations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5720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02.leafy_greens_COA_focusgroup_files/figure-docx/expense_greens_stacked_bar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1"/>
    <w:bookmarkEnd w:id="32"/>
    <w:bookmarkStart w:id="38" w:name="fixed-production-expenses"/>
    <w:p>
      <w:pPr>
        <w:pStyle w:val="Heading1"/>
      </w:pPr>
      <w:r>
        <w:t xml:space="preserve">4. Fixed production expenses</w:t>
      </w:r>
    </w:p>
    <w:p>
      <w:pPr>
        <w:pStyle w:val="FirstParagraph"/>
      </w:pPr>
      <w:r>
        <w:t xml:space="preserve">Shown as a total and as a percent of total fixed expense.</w:t>
      </w:r>
    </w:p>
    <w:p>
      <w:pPr>
        <w:numPr>
          <w:ilvl w:val="0"/>
          <w:numId w:val="1005"/>
        </w:numPr>
        <w:pStyle w:val="Compact"/>
      </w:pPr>
      <w:r>
        <w:t xml:space="preserve">Interest paid on debts secured by real estate</w:t>
      </w:r>
    </w:p>
    <w:p>
      <w:pPr>
        <w:numPr>
          <w:ilvl w:val="0"/>
          <w:numId w:val="1005"/>
        </w:numPr>
        <w:pStyle w:val="Compact"/>
      </w:pPr>
      <w:r>
        <w:t xml:space="preserve">Interest paid on debts not secured by real estate</w:t>
      </w:r>
    </w:p>
    <w:p>
      <w:pPr>
        <w:numPr>
          <w:ilvl w:val="0"/>
          <w:numId w:val="1005"/>
        </w:numPr>
        <w:pStyle w:val="Compact"/>
      </w:pPr>
      <w:r>
        <w:t xml:space="preserve">Property taxes</w:t>
      </w:r>
    </w:p>
    <w:p>
      <w:pPr>
        <w:numPr>
          <w:ilvl w:val="0"/>
          <w:numId w:val="1005"/>
        </w:numPr>
        <w:pStyle w:val="Compact"/>
      </w:pPr>
      <w:r>
        <w:t xml:space="preserve">Medical supplies, veterinary, custom services for livestock</w:t>
      </w:r>
    </w:p>
    <w:p>
      <w:pPr>
        <w:pStyle w:val="FirstParagraph"/>
      </w:pPr>
      <w:r>
        <w:t xml:space="preserve">Also include (but not as part of the total fixed expenses) - Depreciation expense claimed by the operation for all capital assets</w:t>
      </w:r>
    </w:p>
    <w:p>
      <w:r>
        <w:br w:type="page"/>
      </w:r>
    </w:p>
    <w:bookmarkStart w:id="33" w:name="fixed-expenses---leafy-green-operations"/>
    <w:p>
      <w:pPr>
        <w:pStyle w:val="Heading2"/>
      </w:pPr>
      <w:r>
        <w:t xml:space="preserve">4.1 Fixed expenses - Leafy Green operations</w:t>
      </w:r>
    </w:p>
    <w:tbl>
      <w:tblPr>
        <w:tblStyle w:val="Table"/>
        <w:tblW w:type="auto" w:w="0"/>
        <w:tblLook w:firstRow="1" w:lastRow="1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Conventional (n=609)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Organic (n=172)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supplies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656 (140)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 (330)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Rent/lease for machinery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2,777 (945)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1,278 (2,226)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3,615 (583)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3,959 (1,373)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Rent/lease for land and buildings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3,857 (893)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6,211 (2,102)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Property 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6,599 (566)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6,931 (1,332)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production expenses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16,503 (5,576)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39,324 (13,125)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fixed expense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34,007 (6,861)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58,105 (16,150)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supplies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(1%)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Rent/lease for machinery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 (1%)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Rent/lease for land and buildings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 (2%)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 (2%)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 (1%)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36% (3%)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Property 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53% (2%)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44% (4%)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Mean (SE). Expenses are in 2022 dollars. Other expenses include storage and warehousing, marketing expenses, insurance, vehicle registration fees, etc. Excludes health insurance premiums and payroll taxes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7" w:name="X54190bbcf0a790c13828fc21c3d1909721bb555"/>
    <w:p>
      <w:pPr>
        <w:pStyle w:val="Heading2"/>
      </w:pPr>
      <w:r>
        <w:t xml:space="preserve">4.2 Fixed expenses as a percent of total fixed expense - Leafy Green operations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5720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2.leafy_greens_COA_focusgroup_files/figure-docx/fixedexpense_greens_stacked_bar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7"/>
    <w:bookmarkEnd w:id="38"/>
    <w:bookmarkStart w:id="52" w:name="profitability"/>
    <w:p>
      <w:pPr>
        <w:pStyle w:val="Heading1"/>
      </w:pPr>
      <w:r>
        <w:t xml:space="preserve">5. Profitability</w:t>
      </w:r>
    </w:p>
    <w:p>
      <w:pPr>
        <w:numPr>
          <w:ilvl w:val="0"/>
          <w:numId w:val="1006"/>
        </w:numPr>
        <w:pStyle w:val="Compact"/>
      </w:pPr>
      <w:r>
        <w:t xml:space="preserve">Net farm income</w:t>
      </w:r>
    </w:p>
    <w:p>
      <w:pPr>
        <w:numPr>
          <w:ilvl w:val="0"/>
          <w:numId w:val="1006"/>
        </w:numPr>
        <w:pStyle w:val="Compact"/>
      </w:pPr>
      <w:r>
        <w:t xml:space="preserve">Operating profit margin</w:t>
      </w:r>
    </w:p>
    <w:p>
      <w:pPr>
        <w:numPr>
          <w:ilvl w:val="0"/>
          <w:numId w:val="1006"/>
        </w:numPr>
        <w:pStyle w:val="Compact"/>
      </w:pPr>
      <w:r>
        <w:t xml:space="preserve">Return on assets</w:t>
      </w:r>
    </w:p>
    <w:bookmarkStart w:id="39" w:name="Xdff95b4bdd9a8ff37ce9495faf9fc8ee4f32313"/>
    <w:p>
      <w:pPr>
        <w:pStyle w:val="Heading2"/>
      </w:pPr>
      <w:r>
        <w:t xml:space="preserve">5.1 Average profitability - Leafy Green operations</w:t>
      </w:r>
    </w:p>
    <w:tbl>
      <w:tblPr>
        <w:tblStyle w:val="Table"/>
        <w:tblW w:type="auto" w:w="0"/>
        <w:tblLook w:firstRow="1" w:lastRow="1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Conventional (n=609)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Organic (n=172)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Return on assets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 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profit margin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(0.087)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 (0.21)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farm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45,390 (16,657)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-16,307 (39,208)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Mean (SE). Net farm income is in 2022 dollars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43" w:name="X4cf70327e596837b1d5d1e56d77790c91c749ba"/>
    <w:p>
      <w:pPr>
        <w:pStyle w:val="Heading2"/>
      </w:pPr>
      <w:r>
        <w:t xml:space="preserve">5.2 Return on Assets - Leafy Green operations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5720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02.leafy_greens_COA_focusgroup_files/figure-docx/roa_green_boxplo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3"/>
    <w:bookmarkStart w:id="47" w:name="net-farm-income---leafy-green-operations"/>
    <w:p>
      <w:pPr>
        <w:pStyle w:val="Heading2"/>
      </w:pPr>
      <w:r>
        <w:t xml:space="preserve">5.3 Net Farm Income - Leafy Green operations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572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02.leafy_greens_COA_focusgroup_files/figure-docx/infi_green_boxplot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7"/>
    <w:bookmarkStart w:id="51" w:name="X573f423137e9be097723e34c7f7460ab824058f"/>
    <w:p>
      <w:pPr>
        <w:pStyle w:val="Heading2"/>
      </w:pPr>
      <w:r>
        <w:t xml:space="preserve">5.4 Operating Profit Margin - Leafy Green operations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5720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02.leafy_greens_COA_focusgroup_files/figure-docx/opm_green_boxplot-1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1"/>
    <w:bookmarkEnd w:id="52"/>
    <w:bookmarkStart w:id="54" w:name="land-use-practices"/>
    <w:p>
      <w:pPr>
        <w:pStyle w:val="Heading1"/>
      </w:pPr>
      <w:r>
        <w:t xml:space="preserve">6. Land use practices</w:t>
      </w:r>
    </w:p>
    <w:p>
      <w:pPr>
        <w:numPr>
          <w:ilvl w:val="0"/>
          <w:numId w:val="1007"/>
        </w:numPr>
        <w:pStyle w:val="Compact"/>
      </w:pPr>
      <w:r>
        <w:t xml:space="preserve">Cropland acres planted to a cover crop</w:t>
      </w:r>
    </w:p>
    <w:p>
      <w:pPr>
        <w:numPr>
          <w:ilvl w:val="0"/>
          <w:numId w:val="1007"/>
        </w:numPr>
        <w:pStyle w:val="Compact"/>
      </w:pPr>
      <w:r>
        <w:t xml:space="preserve">No till acres</w:t>
      </w:r>
    </w:p>
    <w:p>
      <w:pPr>
        <w:numPr>
          <w:ilvl w:val="0"/>
          <w:numId w:val="1007"/>
        </w:numPr>
        <w:pStyle w:val="Compact"/>
      </w:pPr>
      <w:r>
        <w:t xml:space="preserve">Reduced till acres</w:t>
      </w:r>
    </w:p>
    <w:bookmarkStart w:id="53" w:name="X68301518af9bbef7c177756f91f503dabfbea8f"/>
    <w:p>
      <w:pPr>
        <w:pStyle w:val="Heading2"/>
      </w:pPr>
      <w:r>
        <w:t xml:space="preserve">6.1 Land Use Practices - Leafy Green operations</w:t>
      </w:r>
    </w:p>
    <w:tbl>
      <w:tblPr>
        <w:tblStyle w:val="Table"/>
        <w:tblW w:type="auto" w:w="0"/>
        <w:tblLook w:firstRow="1" w:lastRow="1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Conventional (n=609)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Organic (n=172)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 crop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38% (2%)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67% (5%)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Reduced till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 (2%)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 (5%)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31% (2%)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 (5%)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Mean (SE). Net farm income is in 2022 dollars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Leafy Greens Focus Group, Tables and Figures</dc:title>
  <dc:creator/>
  <cp:keywords/>
  <dcterms:created xsi:type="dcterms:W3CDTF">2025-03-28T16:18:54Z</dcterms:created>
  <dcterms:modified xsi:type="dcterms:W3CDTF">2025-03-28T16:18:54Z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