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09</w:t>
      </w:r>
      <w:r>
        <w:t xml:space="preserve"> </w:t>
      </w:r>
      <w:r>
        <w:t xml:space="preserve">August</w:t>
      </w:r>
      <w:r>
        <w:t xml:space="preserve"> </w:t>
      </w:r>
      <w:r>
        <w:t xml:space="preserve">2024,</w:t>
      </w:r>
      <w:r>
        <w:t xml:space="preserve"> </w:t>
      </w:r>
      <w:r>
        <w:t xml:space="preserve">11:08</w:t>
      </w:r>
      <w:r>
        <w:t xml:space="preserve"> </w:t>
      </w:r>
      <w:r>
        <w:t xml:space="preserve">am</w:t>
      </w:r>
    </w:p>
    <w:bookmarkStart w:id="29"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You can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miscellaneous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accessibility"/>
    <w:p>
      <w:pPr>
        <w:pStyle w:val="Heading2"/>
      </w:pPr>
      <w:r>
        <w:rPr>
          <w:rStyle w:val="SectionNumber"/>
        </w:rPr>
        <w:t xml:space="preserve">1.3</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Text cintent guidance is in</w:t>
      </w:r>
      <w:r>
        <w:t xml:space="preserve"> </w:t>
      </w:r>
      <w:r>
        <w:t xml:space="preserve">Section</w:t>
      </w:r>
      <w:r>
        <w:t xml:space="preserve"> </w:t>
      </w:r>
      <w:r>
        <w:t xml:space="preserve">2</w:t>
      </w:r>
      <w:r>
        <w:t xml:space="preserve">.For chart design guidance, see Section</w:t>
      </w:r>
      <w:r>
        <w:t xml:space="preserve"> </w:t>
      </w:r>
      <w:r>
        <w:t xml:space="preserve">3</w:t>
      </w:r>
      <w:r>
        <w:t xml:space="preserve">.</w:t>
      </w:r>
    </w:p>
    <w:bookmarkEnd w:id="27"/>
    <w:bookmarkStart w:id="28" w:name="timings-resources-and-pinch-points"/>
    <w:p>
      <w:pPr>
        <w:pStyle w:val="Heading2"/>
      </w:pPr>
      <w:r>
        <w:rPr>
          <w:rStyle w:val="SectionNumber"/>
        </w:rPr>
        <w:t xml:space="preserve">1.4</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8"/>
    <w:bookmarkEnd w:id="29"/>
    <w:bookmarkStart w:id="51" w:name="text"/>
    <w:p>
      <w:pPr>
        <w:pStyle w:val="Heading1"/>
      </w:pPr>
      <w:r>
        <w:rPr>
          <w:rStyle w:val="SectionNumber"/>
        </w:rPr>
        <w:t xml:space="preserve">2</w:t>
      </w:r>
      <w:r>
        <w:tab/>
      </w:r>
      <w:r>
        <w:t xml:space="preserve">Text content style guide</w:t>
      </w:r>
    </w:p>
    <w:bookmarkStart w:id="32" w:name="hierarchy-of-guidance"/>
    <w:p>
      <w:pPr>
        <w:pStyle w:val="Heading2"/>
      </w:pPr>
      <w:r>
        <w:rPr>
          <w:rStyle w:val="SectionNumber"/>
        </w:rPr>
        <w:t xml:space="preserve">2.1</w:t>
      </w:r>
      <w:r>
        <w:tab/>
      </w:r>
      <w:r>
        <w:t xml:space="preserve">Hierarchy of guidance</w:t>
      </w:r>
    </w:p>
    <w:p>
      <w:pPr>
        <w:pStyle w:val="FirstParagraph"/>
      </w:pPr>
      <w:r>
        <w:t xml:space="preserve">There is a</w:t>
      </w:r>
      <w:r>
        <w:t xml:space="preserve"> </w:t>
      </w:r>
      <w:hyperlink r:id="rId30">
        <w:r>
          <w:rPr>
            <w:rStyle w:val="Hyperlink"/>
          </w:rPr>
          <w:t xml:space="preserve">GDS style guide</w:t>
        </w:r>
      </w:hyperlink>
      <w:r>
        <w:t xml:space="preserve"> </w:t>
      </w:r>
      <w:r>
        <w:t xml:space="preserve">for all</w:t>
      </w:r>
      <w:r>
        <w:t xml:space="preserve"> </w:t>
      </w:r>
      <w:r>
        <w:t xml:space="preserve">content published on gov.uk, and this is the primary reference. The Analysis</w:t>
      </w:r>
      <w:r>
        <w:t xml:space="preserve"> </w:t>
      </w:r>
      <w:r>
        <w:t xml:space="preserve">Function also has guidance on</w:t>
      </w:r>
      <w:r>
        <w:t xml:space="preserve"> </w:t>
      </w:r>
      <w:hyperlink r:id="rId31">
        <w:r>
          <w:rPr>
            <w:rStyle w:val="Hyperlink"/>
          </w:rPr>
          <w:t xml:space="preserve">accessibility and plain</w:t>
        </w:r>
        <w:r>
          <w:rPr>
            <w:rStyle w:val="Hyperlink"/>
          </w:rPr>
          <w:t xml:space="preserve"> </w:t>
        </w:r>
        <w:r>
          <w:rPr>
            <w:rStyle w:val="Hyperlink"/>
          </w:rPr>
          <w:t xml:space="preserve">English</w:t>
        </w:r>
      </w:hyperlink>
      <w:r>
        <w:t xml:space="preserve"> </w:t>
      </w:r>
      <w:r>
        <w:t xml:space="preserve">which complements it. This UKFSR guide is intended to capture all of the things</w:t>
      </w:r>
      <w:r>
        <w:t xml:space="preserve"> </w:t>
      </w:r>
      <w:r>
        <w:t xml:space="preserve">which are specific to the publication, or which are not covered in the other two</w:t>
      </w:r>
      <w:r>
        <w:t xml:space="preserve"> </w:t>
      </w:r>
      <w:r>
        <w:t xml:space="preserve">guide.</w:t>
      </w:r>
    </w:p>
    <w:bookmarkEnd w:id="32"/>
    <w:bookmarkStart w:id="39" w:name="formatting-and-layout"/>
    <w:p>
      <w:pPr>
        <w:pStyle w:val="Heading2"/>
      </w:pPr>
      <w:r>
        <w:rPr>
          <w:rStyle w:val="SectionNumber"/>
        </w:rPr>
        <w:t xml:space="preserve">2.2</w:t>
      </w:r>
      <w:r>
        <w:tab/>
      </w:r>
      <w:r>
        <w:t xml:space="preserve">Formatting and layout</w:t>
      </w:r>
    </w:p>
    <w:bookmarkStart w:id="33" w:name="formatting-styles"/>
    <w:p>
      <w:pPr>
        <w:pStyle w:val="Heading3"/>
      </w:pPr>
      <w:r>
        <w:rPr>
          <w:rStyle w:val="SectionNumber"/>
        </w:rPr>
        <w:t xml:space="preserve">2.2.1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w:t>
      </w:r>
      <w:r>
        <w:t xml:space="preserve"> </w:t>
      </w:r>
      <w:r>
        <w:t xml:space="preserve">critical to the structure of the web publications (see</w:t>
      </w:r>
      <w:r>
        <w:t xml:space="preserve"> </w:t>
      </w:r>
      <w:r>
        <w:t xml:space="preserve">6</w:t>
      </w:r>
      <w:r>
        <w:t xml:space="preserve">), and building</w:t>
      </w:r>
      <w:r>
        <w:t xml:space="preserve"> </w:t>
      </w:r>
      <w:r>
        <w:t xml:space="preserve">the table of contents in the print version (see</w:t>
      </w:r>
      <w:r>
        <w:t xml:space="preserve"> </w:t>
      </w:r>
      <w:r>
        <w:t xml:space="preserve">7</w:t>
      </w:r>
      <w:r>
        <w:t xml:space="preserve">). If you dont use</w:t>
      </w:r>
      <w:r>
        <w:t xml:space="preserve"> </w:t>
      </w:r>
      <w:r>
        <w:t xml:space="preserve">styles during drafting, its a massive horrible job to retrofit them at the end</w:t>
      </w:r>
      <w:r>
        <w:t xml:space="preserve"> </w:t>
      </w:r>
      <w:r>
        <w:t xml:space="preserve">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3"/>
    <w:bookmarkStart w:id="34" w:name="indicator-section-headings"/>
    <w:p>
      <w:pPr>
        <w:pStyle w:val="Heading3"/>
      </w:pPr>
      <w:r>
        <w:rPr>
          <w:rStyle w:val="SectionNumber"/>
        </w:rPr>
        <w:t xml:space="preserve">2.2.2</w:t>
      </w:r>
      <w:r>
        <w:tab/>
      </w:r>
      <w:r>
        <w:t xml:space="preserve">Indicator section headings</w:t>
      </w:r>
    </w:p>
    <w:p>
      <w:pPr>
        <w:numPr>
          <w:ilvl w:val="0"/>
          <w:numId w:val="1004"/>
        </w:numPr>
      </w:pPr>
      <w:r>
        <w:rPr>
          <w:bCs/>
          <w:b/>
        </w:rPr>
        <w:t xml:space="preserve">Rationale</w:t>
      </w:r>
      <w:r>
        <w:t xml:space="preserve"> </w:t>
      </w:r>
      <w:r>
        <w:t xml:space="preserve">(Theme Lead)</w:t>
      </w:r>
    </w:p>
    <w:p>
      <w:pPr>
        <w:numPr>
          <w:ilvl w:val="1"/>
          <w:numId w:val="1005"/>
        </w:numPr>
      </w:pPr>
      <w:r>
        <w:t xml:space="preserve">What is the stat? Why is it included? What question is it answering? E.g. the stat is x and helps us measure y, telling us z.</w:t>
      </w:r>
    </w:p>
    <w:p>
      <w:pPr>
        <w:numPr>
          <w:ilvl w:val="1"/>
          <w:numId w:val="1005"/>
        </w:numPr>
      </w:pPr>
      <w:r>
        <w:t xml:space="preserve">How does the stat link to food security?</w:t>
      </w:r>
    </w:p>
    <w:p>
      <w:pPr>
        <w:numPr>
          <w:ilvl w:val="1"/>
          <w:numId w:val="1005"/>
        </w:numPr>
      </w:pPr>
      <w:r>
        <w:t xml:space="preserve">2-3 sentences, giving reader key understanding before they see the assessment.</w:t>
      </w:r>
    </w:p>
    <w:p>
      <w:pPr>
        <w:numPr>
          <w:ilvl w:val="0"/>
          <w:numId w:val="1004"/>
        </w:numPr>
      </w:pPr>
      <w:r>
        <w:rPr>
          <w:bCs/>
          <w:b/>
        </w:rPr>
        <w:t xml:space="preserve">Assessment</w:t>
      </w:r>
      <w:r>
        <w:t xml:space="preserve"> </w:t>
      </w:r>
      <w:r>
        <w:t xml:space="preserve">(Analyst lead)</w:t>
      </w:r>
    </w:p>
    <w:p>
      <w:pPr>
        <w:numPr>
          <w:ilvl w:val="1"/>
          <w:numId w:val="1006"/>
        </w:numPr>
      </w:pPr>
      <w:r>
        <w:t xml:space="preserve">What is the key data point and source? (Make clear to the reader what is being measured)</w:t>
      </w:r>
    </w:p>
    <w:p>
      <w:pPr>
        <w:numPr>
          <w:ilvl w:val="1"/>
          <w:numId w:val="1006"/>
        </w:numPr>
      </w:pPr>
      <w:r>
        <w:t xml:space="preserve">Are there any caveats/ changes to the key data point?</w:t>
      </w:r>
    </w:p>
    <w:p>
      <w:pPr>
        <w:numPr>
          <w:ilvl w:val="1"/>
          <w:numId w:val="1006"/>
        </w:numPr>
      </w:pPr>
      <w:r>
        <w:t xml:space="preserve">Explain what the data says about the state of UK food security and how this has changed or remained constant since 2021.</w:t>
      </w:r>
    </w:p>
    <w:p>
      <w:pPr>
        <w:numPr>
          <w:ilvl w:val="2"/>
          <w:numId w:val="1007"/>
        </w:numPr>
        <w:pStyle w:val="Compact"/>
      </w:pPr>
      <w:r>
        <w:t xml:space="preserve">Assessment language placeholder Jeeves/Will to work up some phrases which can be used to summarise the Assessment section (e.g.,</w:t>
      </w:r>
      <w:r>
        <w:t xml:space="preserve"> </w:t>
      </w:r>
      <w:r>
        <w:t xml:space="preserve">“</w:t>
      </w:r>
      <w:r>
        <w:t xml:space="preserve">this trends expands the risk to food security</w:t>
      </w:r>
      <w:r>
        <w:t xml:space="preserve">”</w:t>
      </w:r>
      <w:r>
        <w:t xml:space="preserve">;</w:t>
      </w:r>
      <w:r>
        <w:t xml:space="preserve"> </w:t>
      </w:r>
      <w:r>
        <w:t xml:space="preserve">“</w:t>
      </w:r>
      <w:r>
        <w:t xml:space="preserve">the strength to food security is shown through…</w:t>
      </w:r>
      <w:r>
        <w:t xml:space="preserve">”</w:t>
      </w:r>
      <w:r>
        <w:t xml:space="preserve">)</w:t>
      </w:r>
    </w:p>
    <w:p>
      <w:pPr>
        <w:numPr>
          <w:ilvl w:val="1"/>
          <w:numId w:val="1006"/>
        </w:numPr>
      </w:pPr>
      <w:r>
        <w:t xml:space="preserve">If there is something specific which can link the assessment section to the commentary section, mention it in Assessment, and develop it further in the Commentary.</w:t>
      </w:r>
    </w:p>
    <w:p>
      <w:pPr>
        <w:numPr>
          <w:ilvl w:val="1"/>
          <w:numId w:val="1006"/>
        </w:numPr>
      </w:pPr>
      <w:r>
        <w:t xml:space="preserve">3-4 sentences. There will likely be 1 graph for the key statistic.</w:t>
      </w:r>
    </w:p>
    <w:p>
      <w:pPr>
        <w:numPr>
          <w:ilvl w:val="0"/>
          <w:numId w:val="1004"/>
        </w:numPr>
      </w:pPr>
      <w:r>
        <w:rPr>
          <w:bCs/>
          <w:b/>
        </w:rPr>
        <w:t xml:space="preserve">Commentary</w:t>
      </w:r>
      <w:r>
        <w:t xml:space="preserve"> </w:t>
      </w:r>
      <w:r>
        <w:t xml:space="preserve">(Theme Lead / confirmed by analyst)</w:t>
      </w:r>
    </w:p>
    <w:p>
      <w:pPr>
        <w:numPr>
          <w:ilvl w:val="1"/>
          <w:numId w:val="1008"/>
        </w:numPr>
      </w:pPr>
      <w:r>
        <w:t xml:space="preserve">There will likely be 2-3 graphs for the supporting statistic (consider Analyst’s capacity to produce the graphs).</w:t>
      </w:r>
    </w:p>
    <w:p>
      <w:pPr>
        <w:numPr>
          <w:ilvl w:val="1"/>
          <w:numId w:val="1008"/>
        </w:numPr>
      </w:pPr>
      <w:r>
        <w:rPr>
          <w:bCs/>
          <w:b/>
        </w:rPr>
        <w:t xml:space="preserve">Short term:</w:t>
      </w:r>
      <w:r>
        <w:t xml:space="preserve"> </w:t>
      </w:r>
      <w:r>
        <w:t xml:space="preserve">use the supporting data points to provide context to the</w:t>
      </w:r>
      <w:r>
        <w:t xml:space="preserve"> </w:t>
      </w:r>
      <w:r>
        <w:rPr>
          <w:bCs/>
          <w:b/>
        </w:rPr>
        <w:t xml:space="preserve">key</w:t>
      </w:r>
      <w:r>
        <w:t xml:space="preserve"> </w:t>
      </w:r>
      <w:r>
        <w:t xml:space="preserve">data point across a three-year period.</w:t>
      </w:r>
    </w:p>
    <w:p>
      <w:pPr>
        <w:numPr>
          <w:ilvl w:val="1"/>
          <w:numId w:val="1008"/>
        </w:numPr>
      </w:pPr>
      <w:r>
        <w:rPr>
          <w:bCs/>
          <w:b/>
        </w:rPr>
        <w:t xml:space="preserve">Long term:</w:t>
      </w:r>
      <w:r>
        <w:t xml:space="preserve"> </w:t>
      </w:r>
      <w:r>
        <w:t xml:space="preserve">use any supporting data points which are relevant to showcasing meaningful trends (or absence of trend) over the long term. Look at past data and a forward look. Climate data could be integrated into this section.</w:t>
      </w:r>
    </w:p>
    <w:p>
      <w:pPr>
        <w:numPr>
          <w:ilvl w:val="2"/>
          <w:numId w:val="1009"/>
        </w:numPr>
      </w:pPr>
      <w:r>
        <w:t xml:space="preserve">This section should have a clear time element (Recommended timescale is between 1950-2050)</w:t>
      </w:r>
    </w:p>
    <w:p>
      <w:pPr>
        <w:numPr>
          <w:ilvl w:val="2"/>
          <w:numId w:val="1009"/>
        </w:numPr>
      </w:pPr>
      <w:r>
        <w:t xml:space="preserve">More detail/nuance on the statistic or supporting data/risks/opportunities.</w:t>
      </w:r>
    </w:p>
    <w:bookmarkEnd w:id="34"/>
    <w:bookmarkStart w:id="35" w:name="labelling-data"/>
    <w:p>
      <w:pPr>
        <w:pStyle w:val="Heading3"/>
      </w:pPr>
      <w:r>
        <w:rPr>
          <w:rStyle w:val="SectionNumber"/>
        </w:rPr>
        <w:t xml:space="preserve">2.2.3</w:t>
      </w:r>
      <w:r>
        <w:tab/>
      </w:r>
      <w:r>
        <w:t xml:space="preserve">Labelling data</w:t>
      </w:r>
    </w:p>
    <w:p>
      <w:pPr>
        <w:numPr>
          <w:ilvl w:val="0"/>
          <w:numId w:val="1010"/>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5"/>
    <w:bookmarkStart w:id="36" w:name="references"/>
    <w:p>
      <w:pPr>
        <w:pStyle w:val="Heading3"/>
      </w:pPr>
      <w:r>
        <w:rPr>
          <w:rStyle w:val="SectionNumber"/>
        </w:rPr>
        <w:t xml:space="preserve">2.2.4</w:t>
      </w:r>
      <w:r>
        <w:tab/>
      </w:r>
      <w:r>
        <w:t xml:space="preserve">References</w:t>
      </w:r>
    </w:p>
    <w:p>
      <w:pPr>
        <w:pStyle w:val="FirstParagraph"/>
      </w:pPr>
      <w:r>
        <w:t xml:space="preserve">See 2.5 for general linking guidance. Include a reference in-text after the relevant sentence/paragraph. References should follow the style guide. When writing a reference:</w:t>
      </w:r>
    </w:p>
    <w:p>
      <w:pPr>
        <w:numPr>
          <w:ilvl w:val="0"/>
          <w:numId w:val="1011"/>
        </w:numPr>
        <w:pStyle w:val="Compact"/>
      </w:pPr>
      <w:r>
        <w:t xml:space="preserve">do not use italics</w:t>
      </w:r>
    </w:p>
    <w:p>
      <w:pPr>
        <w:numPr>
          <w:ilvl w:val="0"/>
          <w:numId w:val="1011"/>
        </w:numPr>
        <w:pStyle w:val="Compact"/>
      </w:pPr>
      <w:r>
        <w:t xml:space="preserve">use single quote marks around titles</w:t>
      </w:r>
    </w:p>
    <w:p>
      <w:pPr>
        <w:numPr>
          <w:ilvl w:val="0"/>
          <w:numId w:val="1011"/>
        </w:numPr>
        <w:pStyle w:val="Compact"/>
      </w:pPr>
      <w:r>
        <w:t xml:space="preserve">write out abbreviations in full: page not p, Nutrition Journal not Nutr J.</w:t>
      </w:r>
    </w:p>
    <w:p>
      <w:pPr>
        <w:numPr>
          <w:ilvl w:val="0"/>
          <w:numId w:val="1011"/>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1"/>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12"/>
        </w:numPr>
      </w:pPr>
      <w:r>
        <w:t xml:space="preserve">Although food availability is increasing in low and middle-income countries, fruit and vegetables are still high-value items, meaning fats and sweeteners will make up large parts of the increase in consumption (FAO. [</w:t>
      </w:r>
      <w:r>
        <w:t xml:space="preserve">‘</w:t>
      </w:r>
      <w:r>
        <w:t xml:space="preserve">OECD-FAO Agricultural Outlook 2021-2030</w:t>
      </w:r>
      <w:r>
        <w:t xml:space="preserve">’</w:t>
      </w:r>
      <w:r>
        <w:t xml:space="preserve">] 2021).</w:t>
      </w:r>
    </w:p>
    <w:p>
      <w:pPr>
        <w:numPr>
          <w:ilvl w:val="0"/>
          <w:numId w:val="1012"/>
        </w:numPr>
      </w:pPr>
      <w:r>
        <w:t xml:space="preserve">There is a recurring reference through multiple themes to AUK, check for consistency to make sure it is referenced as follows: (Defra. [</w:t>
      </w:r>
      <w:r>
        <w:t xml:space="preserve">‘</w:t>
      </w:r>
      <w:r>
        <w:t xml:space="preserve">Agriculture in the United Kingdom 2020</w:t>
      </w:r>
      <w:r>
        <w:t xml:space="preserve">’</w:t>
      </w:r>
      <w:r>
        <w:t xml:space="preserve">] 2020)</w:t>
      </w:r>
    </w:p>
    <w:p>
      <w:pPr>
        <w:numPr>
          <w:ilvl w:val="0"/>
          <w:numId w:val="1012"/>
        </w:numPr>
      </w:pPr>
      <w:r>
        <w:t xml:space="preserve">Example given on gov.uk: Corallo AN and others. [</w:t>
      </w:r>
      <w:r>
        <w:t xml:space="preserve">‘</w:t>
      </w:r>
      <w:r>
        <w:t xml:space="preserve">A systematic review of medical practice variation in OECD countries</w:t>
      </w:r>
      <w:r>
        <w:t xml:space="preserve">’</w:t>
      </w:r>
      <w:r>
        <w:t xml:space="preserve">] Health Policy 2014: volume 114, pages 5 to 14.</w:t>
      </w:r>
    </w:p>
    <w:bookmarkEnd w:id="36"/>
    <w:bookmarkStart w:id="37" w:name="evidence-gaps"/>
    <w:p>
      <w:pPr>
        <w:pStyle w:val="Heading3"/>
      </w:pPr>
      <w:r>
        <w:rPr>
          <w:rStyle w:val="SectionNumber"/>
        </w:rPr>
        <w:t xml:space="preserve">2.2.5</w:t>
      </w:r>
      <w:r>
        <w:tab/>
      </w:r>
      <w:r>
        <w:t xml:space="preserve">Evidence gaps</w:t>
      </w:r>
    </w:p>
    <w:p>
      <w:pPr>
        <w:pStyle w:val="FirstParagraph"/>
      </w:pPr>
      <w:r>
        <w:t xml:space="preserve">As an official statistics document, its not the role of the UKFSR to make</w:t>
      </w:r>
      <w:r>
        <w:t xml:space="preserve"> </w:t>
      </w:r>
      <w:r>
        <w:t xml:space="preserve">recommendations for future research. However the report reflects the current</w:t>
      </w:r>
      <w:r>
        <w:t xml:space="preserve"> </w:t>
      </w:r>
      <w:r>
        <w:t xml:space="preserve">evidence base on issues relevant to food security, and therefore it is in scope</w:t>
      </w:r>
      <w:r>
        <w:t xml:space="preserve"> </w:t>
      </w:r>
      <w:r>
        <w:t xml:space="preserve">to reference areas where there are gaps in the evidence.</w:t>
      </w:r>
    </w:p>
    <w:bookmarkEnd w:id="37"/>
    <w:bookmarkStart w:id="38" w:name="urlslinks"/>
    <w:p>
      <w:pPr>
        <w:pStyle w:val="Heading3"/>
      </w:pPr>
      <w:r>
        <w:rPr>
          <w:rStyle w:val="SectionNumber"/>
        </w:rPr>
        <w:t xml:space="preserve">2.2.6</w:t>
      </w:r>
      <w:r>
        <w:tab/>
      </w:r>
      <w:r>
        <w:t xml:space="preserve">URLs/Links</w:t>
      </w:r>
    </w:p>
    <w:p>
      <w:pPr>
        <w:pStyle w:val="FirstParagraph"/>
      </w:pPr>
      <w:r>
        <w:t xml:space="preserve">See 2.6 for references to academic reports.</w:t>
      </w:r>
      <w:r>
        <w:t xml:space="preserve"> </w:t>
      </w:r>
      <w:r>
        <w:rPr>
          <w:iCs/>
          <w:i/>
        </w:rPr>
        <w:t xml:space="preserve">Link to sources, data and relevant online material liberally</w:t>
      </w:r>
      <w:r>
        <w:t xml:space="preserve">,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 sensibly</w:t>
      </w:r>
      <w:r>
        <w:t xml:space="preserve">’</w:t>
      </w:r>
      <w:r>
        <w:t xml:space="preserve">.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pPr>
        <w:numPr>
          <w:ilvl w:val="0"/>
          <w:numId w:val="1013"/>
        </w:numPr>
      </w:pPr>
      <w:r>
        <w:rPr>
          <w:bCs/>
          <w:b/>
        </w:rPr>
        <w:t xml:space="preserve">Data links:</w:t>
      </w:r>
      <w:r>
        <w:t xml:space="preserve"> </w:t>
      </w:r>
      <w:r>
        <w:t xml:space="preserve">Every chart must have a link to the downloadable dataset.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pPr>
        <w:numPr>
          <w:ilvl w:val="0"/>
          <w:numId w:val="1013"/>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 [CPI collection page] which always shows the catalogue of recent publications, and an individual [release]. Generally the collection page is more future proof for users, unless you are making a reference to a specific edition in the UKFSR. The UKFSR has its own [collection page], although at the time of writing it only contains the UKFSR 2021 - eventually this will become an archive and repository of the most recent analysis.</w:t>
      </w:r>
    </w:p>
    <w:p>
      <w:pPr>
        <w:numPr>
          <w:ilvl w:val="0"/>
          <w:numId w:val="1013"/>
        </w:numPr>
      </w:pPr>
      <w:r>
        <w:rPr>
          <w:bCs/>
          <w:b/>
        </w:rPr>
        <w:t xml:space="preserve">General links:</w:t>
      </w:r>
      <w:r>
        <w:t xml:space="preserve"> </w:t>
      </w:r>
      <w:r>
        <w:t xml:space="preserve">If there is no logical place to go, link to the organisation home page or somewhere else sensible, eg [uktradeinfo].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8"/>
    <w:bookmarkEnd w:id="39"/>
    <w:bookmarkStart w:id="50" w:name="spelling-and-style"/>
    <w:p>
      <w:pPr>
        <w:pStyle w:val="Heading2"/>
      </w:pPr>
      <w:r>
        <w:rPr>
          <w:rStyle w:val="SectionNumber"/>
        </w:rPr>
        <w:t xml:space="preserve">2.3</w:t>
      </w:r>
      <w:r>
        <w:tab/>
      </w:r>
      <w:r>
        <w:t xml:space="preserve">Spelling and style</w:t>
      </w:r>
    </w:p>
    <w:p>
      <w:pPr>
        <w:pStyle w:val="FirstParagraph"/>
      </w:pPr>
      <w:r>
        <w:t xml:space="preserve">Please apply Defra style guide:</w:t>
      </w:r>
    </w:p>
    <w:p>
      <w:pPr>
        <w:pStyle w:val="BodyText"/>
      </w:pPr>
      <w:hyperlink r:id="rId40">
        <w:r>
          <w:rPr>
            <w:rStyle w:val="Hyperlink"/>
          </w:rPr>
          <w:t xml:space="preserve">How to write for Defra (sharepoint.com)</w:t>
        </w:r>
      </w:hyperlink>
    </w:p>
    <w:p>
      <w:pPr>
        <w:pStyle w:val="BodyText"/>
      </w:pPr>
      <w:r>
        <w:rPr>
          <w:bCs/>
          <w:b/>
        </w:rPr>
        <w:t xml:space="preserve">Highlights of Defra guidance and points specific to UKFSR</w:t>
      </w:r>
    </w:p>
    <w:bookmarkStart w:id="41" w:name="sentence-length"/>
    <w:p>
      <w:pPr>
        <w:pStyle w:val="Heading3"/>
      </w:pPr>
      <w:r>
        <w:rPr>
          <w:rStyle w:val="SectionNumber"/>
        </w:rPr>
        <w:t xml:space="preserve">2.3.1</w:t>
      </w:r>
      <w:r>
        <w:tab/>
      </w:r>
      <w:r>
        <w:t xml:space="preserve">Sentence length</w:t>
      </w:r>
    </w:p>
    <w:p>
      <w:pPr>
        <w:numPr>
          <w:ilvl w:val="0"/>
          <w:numId w:val="1014"/>
        </w:numPr>
        <w:pStyle w:val="Compact"/>
      </w:pPr>
      <w:r>
        <w:t xml:space="preserve">Do not use long sentences. Check sentences with more than 25 words to see if you can split them to make them clearer.</w:t>
      </w:r>
    </w:p>
    <w:bookmarkEnd w:id="41"/>
    <w:bookmarkStart w:id="42" w:name="the-voice"/>
    <w:p>
      <w:pPr>
        <w:pStyle w:val="Heading3"/>
      </w:pPr>
      <w:r>
        <w:rPr>
          <w:rStyle w:val="SectionNumber"/>
        </w:rPr>
        <w:t xml:space="preserve">2.3.2</w:t>
      </w:r>
      <w:r>
        <w:tab/>
      </w:r>
      <w:r>
        <w:t xml:space="preserve">The</w:t>
      </w:r>
      <w:r>
        <w:t xml:space="preserve"> </w:t>
      </w:r>
      <w:r>
        <w:t xml:space="preserve">‘</w:t>
      </w:r>
      <w:r>
        <w:t xml:space="preserve">Voice</w:t>
      </w:r>
      <w:r>
        <w:t xml:space="preserve">’</w:t>
      </w:r>
    </w:p>
    <w:p>
      <w:pPr>
        <w:numPr>
          <w:ilvl w:val="0"/>
          <w:numId w:val="1015"/>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2"/>
    <w:bookmarkStart w:id="43" w:name="e.g.-i.e.-etc."/>
    <w:p>
      <w:pPr>
        <w:pStyle w:val="Heading3"/>
      </w:pPr>
      <w:r>
        <w:rPr>
          <w:rStyle w:val="SectionNumber"/>
        </w:rPr>
        <w:t xml:space="preserve">2.3.3</w:t>
      </w:r>
      <w:r>
        <w:tab/>
      </w:r>
      <w:r>
        <w:t xml:space="preserve">e.g. / i.e. / etc.</w:t>
      </w:r>
    </w:p>
    <w:p>
      <w:pPr>
        <w:numPr>
          <w:ilvl w:val="0"/>
          <w:numId w:val="1016"/>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6"/>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6"/>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3"/>
    <w:bookmarkStart w:id="44" w:name="acronyms"/>
    <w:p>
      <w:pPr>
        <w:pStyle w:val="Heading3"/>
      </w:pPr>
      <w:r>
        <w:rPr>
          <w:rStyle w:val="SectionNumber"/>
        </w:rPr>
        <w:t xml:space="preserve">2.3.4</w:t>
      </w:r>
      <w:r>
        <w:tab/>
      </w:r>
      <w:r>
        <w:t xml:space="preserve">Acronyms</w:t>
      </w:r>
    </w:p>
    <w:p>
      <w:pPr>
        <w:numPr>
          <w:ilvl w:val="0"/>
          <w:numId w:val="1017"/>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7"/>
        </w:numPr>
      </w:pPr>
      <w:r>
        <w:t xml:space="preserve">Note that for web publishing, acronyms need a little more work (see 6.6.1).</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4"/>
    <w:bookmarkStart w:id="45" w:name="numbers"/>
    <w:p>
      <w:pPr>
        <w:pStyle w:val="Heading3"/>
      </w:pPr>
      <w:r>
        <w:rPr>
          <w:rStyle w:val="SectionNumber"/>
        </w:rPr>
        <w:t xml:space="preserve">2.3.5</w:t>
      </w:r>
      <w:r>
        <w:tab/>
      </w:r>
      <w:r>
        <w:t xml:space="preserve">Numbers</w:t>
      </w:r>
    </w:p>
    <w:p>
      <w:pPr>
        <w:numPr>
          <w:ilvl w:val="0"/>
          <w:numId w:val="1018"/>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8"/>
        </w:numPr>
        <w:pStyle w:val="Compact"/>
      </w:pPr>
      <w:r>
        <w:t xml:space="preserve">Use a % sign for percentages: 50%</w:t>
      </w:r>
    </w:p>
    <w:p>
      <w:pPr>
        <w:numPr>
          <w:ilvl w:val="0"/>
          <w:numId w:val="1018"/>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5"/>
    <w:bookmarkStart w:id="46" w:name="spellingword-choice"/>
    <w:p>
      <w:pPr>
        <w:pStyle w:val="Heading3"/>
      </w:pPr>
      <w:r>
        <w:rPr>
          <w:rStyle w:val="SectionNumber"/>
        </w:rPr>
        <w:t xml:space="preserve">2.3.6</w:t>
      </w:r>
      <w:r>
        <w:tab/>
      </w:r>
      <w:r>
        <w:t xml:space="preserve">Spelling/Word choice</w:t>
      </w:r>
    </w:p>
    <w:p>
      <w:pPr>
        <w:numPr>
          <w:ilvl w:val="0"/>
          <w:numId w:val="1019"/>
        </w:numPr>
      </w:pPr>
      <w:r>
        <w:t xml:space="preserve">UKFSR 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19"/>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19"/>
        </w:numPr>
      </w:pPr>
      <w:r>
        <w:t xml:space="preserve">government, UK government (not capitalised unless it’s Welsh or Scottish Government)</w:t>
      </w:r>
    </w:p>
    <w:p>
      <w:pPr>
        <w:numPr>
          <w:ilvl w:val="0"/>
          <w:numId w:val="1019"/>
        </w:numPr>
      </w:pPr>
      <w:r>
        <w:t xml:space="preserve">other government departments</w:t>
      </w:r>
    </w:p>
    <w:p>
      <w:pPr>
        <w:numPr>
          <w:ilvl w:val="0"/>
          <w:numId w:val="1019"/>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19"/>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19"/>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19"/>
        </w:numPr>
      </w:pPr>
      <w:r>
        <w:t xml:space="preserve">Disabled people and not people with disabilities</w:t>
      </w:r>
    </w:p>
    <w:p>
      <w:pPr>
        <w:numPr>
          <w:ilvl w:val="0"/>
          <w:numId w:val="1019"/>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 </w:t>
      </w:r>
      <w:r>
        <w:t xml:space="preserve">or Russia’s invasion of Ukraine.</w:t>
      </w:r>
    </w:p>
    <w:p>
      <w:pPr>
        <w:numPr>
          <w:ilvl w:val="0"/>
          <w:numId w:val="1019"/>
        </w:numPr>
      </w:pPr>
      <w:r>
        <w:t xml:space="preserve">Total Factor Productivity can be abbreviated to TFP. It’s a commonly used abbreviation</w:t>
      </w:r>
    </w:p>
    <w:p>
      <w:pPr>
        <w:numPr>
          <w:ilvl w:val="0"/>
          <w:numId w:val="1019"/>
        </w:numPr>
      </w:pPr>
      <w:r>
        <w:t xml:space="preserve">Production to Supply Ratio does not have a standard abbreviation, do not abbreviate</w:t>
      </w:r>
    </w:p>
    <w:p>
      <w:pPr>
        <w:numPr>
          <w:ilvl w:val="0"/>
          <w:numId w:val="1019"/>
        </w:numPr>
      </w:pPr>
      <w:r>
        <w:t xml:space="preserve">Instead of referring to the cost-of-living crisis, instead say that it is the</w:t>
      </w:r>
      <w:r>
        <w:t xml:space="preserve"> </w:t>
      </w:r>
      <w:r>
        <w:t xml:space="preserve">“</w:t>
      </w:r>
      <w:r>
        <w:t xml:space="preserve">period of high inflation between 2021 and 2023</w:t>
      </w:r>
      <w:r>
        <w:t xml:space="preserve">”</w:t>
      </w:r>
      <w:r>
        <w:t xml:space="preserve">.</w:t>
      </w:r>
    </w:p>
    <w:p>
      <w:pPr>
        <w:numPr>
          <w:ilvl w:val="0"/>
          <w:numId w:val="1019"/>
        </w:numPr>
      </w:pPr>
      <w:r>
        <w:t xml:space="preserve">Talking about Brexit:</w:t>
      </w:r>
    </w:p>
    <w:p>
      <w:pPr>
        <w:numPr>
          <w:ilvl w:val="1"/>
          <w:numId w:val="1020"/>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21"/>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21"/>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21"/>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19"/>
        </w:numPr>
      </w:pPr>
      <w:r>
        <w:t xml:space="preserve">Dates: do not use a comma between the month and year: 4 June 2017</w:t>
      </w:r>
    </w:p>
    <w:p>
      <w:pPr>
        <w:numPr>
          <w:ilvl w:val="0"/>
          <w:numId w:val="1019"/>
        </w:numPr>
      </w:pPr>
      <w:r>
        <w:t xml:space="preserve">white paper (lower case)</w:t>
      </w:r>
    </w:p>
    <w:p>
      <w:pPr>
        <w:numPr>
          <w:ilvl w:val="0"/>
          <w:numId w:val="1019"/>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bookmarkEnd w:id="46"/>
    <w:bookmarkStart w:id="47" w:name="symbols"/>
    <w:p>
      <w:pPr>
        <w:pStyle w:val="Heading3"/>
      </w:pPr>
      <w:r>
        <w:rPr>
          <w:rStyle w:val="SectionNumber"/>
        </w:rPr>
        <w:t xml:space="preserve">2.3.7</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7"/>
    <w:bookmarkStart w:id="48" w:name="quotation-marks"/>
    <w:p>
      <w:pPr>
        <w:pStyle w:val="Heading3"/>
      </w:pPr>
      <w:r>
        <w:rPr>
          <w:rStyle w:val="SectionNumber"/>
        </w:rPr>
        <w:t xml:space="preserve">2.3.8</w:t>
      </w:r>
      <w:r>
        <w:tab/>
      </w:r>
      <w:r>
        <w:t xml:space="preserve">Quotation marks:</w:t>
      </w:r>
    </w:p>
    <w:p>
      <w:pPr>
        <w:pStyle w:val="FirstParagraph"/>
      </w:pPr>
      <w:r>
        <w:t xml:space="preserve">Use single quotes</w:t>
      </w:r>
    </w:p>
    <w:p>
      <w:pPr>
        <w:numPr>
          <w:ilvl w:val="0"/>
          <w:numId w:val="1023"/>
        </w:numPr>
        <w:pStyle w:val="Compact"/>
      </w:pPr>
      <w:r>
        <w:t xml:space="preserve">in headlines</w:t>
      </w:r>
    </w:p>
    <w:p>
      <w:pPr>
        <w:numPr>
          <w:ilvl w:val="0"/>
          <w:numId w:val="1023"/>
        </w:numPr>
        <w:pStyle w:val="Compact"/>
      </w:pPr>
      <w:r>
        <w:t xml:space="preserve">for unusual terms</w:t>
      </w:r>
    </w:p>
    <w:p>
      <w:pPr>
        <w:numPr>
          <w:ilvl w:val="0"/>
          <w:numId w:val="1023"/>
        </w:numPr>
        <w:pStyle w:val="Compact"/>
      </w:pPr>
      <w:r>
        <w:t xml:space="preserve">when referring to words</w:t>
      </w:r>
    </w:p>
    <w:p>
      <w:pPr>
        <w:numPr>
          <w:ilvl w:val="0"/>
          <w:numId w:val="1023"/>
        </w:numPr>
        <w:pStyle w:val="Compact"/>
      </w:pPr>
      <w:r>
        <w:t xml:space="preserve">when referring to publications</w:t>
      </w:r>
    </w:p>
    <w:p>
      <w:pPr>
        <w:pStyle w:val="FirstParagraph"/>
      </w:pPr>
      <w:r>
        <w:t xml:space="preserve">Use double quotes:</w:t>
      </w:r>
    </w:p>
    <w:p>
      <w:pPr>
        <w:numPr>
          <w:ilvl w:val="0"/>
          <w:numId w:val="1024"/>
        </w:numPr>
        <w:pStyle w:val="Compact"/>
      </w:pPr>
      <w:r>
        <w:t xml:space="preserve">Use double quotes in body text for direct quotations</w:t>
      </w:r>
    </w:p>
    <w:bookmarkEnd w:id="48"/>
    <w:bookmarkStart w:id="49" w:name="words-to-avoid"/>
    <w:p>
      <w:pPr>
        <w:pStyle w:val="Heading3"/>
      </w:pPr>
      <w:r>
        <w:rPr>
          <w:rStyle w:val="SectionNumber"/>
        </w:rPr>
        <w:t xml:space="preserve">2.3.9</w:t>
      </w:r>
      <w:r>
        <w:tab/>
      </w:r>
      <w:r>
        <w:t xml:space="preserve">Words to avoid</w:t>
      </w:r>
    </w:p>
    <w:p>
      <w:pPr>
        <w:numPr>
          <w:ilvl w:val="0"/>
          <w:numId w:val="1025"/>
        </w:numPr>
        <w:pStyle w:val="Compact"/>
      </w:pPr>
      <w:r>
        <w:t xml:space="preserve">Robust</w:t>
      </w:r>
    </w:p>
    <w:p>
      <w:pPr>
        <w:numPr>
          <w:ilvl w:val="0"/>
          <w:numId w:val="1025"/>
        </w:numPr>
        <w:pStyle w:val="Compact"/>
      </w:pPr>
      <w:r>
        <w:t xml:space="preserve">Overarching</w:t>
      </w:r>
    </w:p>
    <w:p>
      <w:pPr>
        <w:numPr>
          <w:ilvl w:val="0"/>
          <w:numId w:val="1025"/>
        </w:numPr>
        <w:pStyle w:val="Compact"/>
      </w:pPr>
      <w:r>
        <w:t xml:space="preserve">Strengthen (unless we are actually strengthening an architectural structure)</w:t>
      </w:r>
    </w:p>
    <w:p>
      <w:pPr>
        <w:numPr>
          <w:ilvl w:val="0"/>
          <w:numId w:val="1025"/>
        </w:numPr>
        <w:pStyle w:val="Compact"/>
      </w:pPr>
      <w:r>
        <w:t xml:space="preserve">Tackling</w:t>
      </w:r>
    </w:p>
    <w:p>
      <w:pPr>
        <w:numPr>
          <w:ilvl w:val="0"/>
          <w:numId w:val="1025"/>
        </w:numPr>
        <w:pStyle w:val="Compact"/>
      </w:pPr>
      <w:r>
        <w:t xml:space="preserve">Going forward</w:t>
      </w:r>
    </w:p>
    <w:p>
      <w:pPr>
        <w:numPr>
          <w:ilvl w:val="0"/>
          <w:numId w:val="1025"/>
        </w:numPr>
        <w:pStyle w:val="Compact"/>
      </w:pPr>
      <w:r>
        <w:t xml:space="preserve">In order to (superfluous, never use it)</w:t>
      </w:r>
    </w:p>
    <w:p>
      <w:pPr>
        <w:numPr>
          <w:ilvl w:val="0"/>
          <w:numId w:val="1025"/>
        </w:numPr>
        <w:pStyle w:val="Compact"/>
      </w:pPr>
      <w:r>
        <w:t xml:space="preserve">impact (do not use this as a synonym for have an effect on, or influence)</w:t>
      </w:r>
    </w:p>
    <w:p>
      <w:pPr>
        <w:numPr>
          <w:ilvl w:val="0"/>
          <w:numId w:val="1025"/>
        </w:numPr>
        <w:pStyle w:val="Compact"/>
      </w:pPr>
      <w:r>
        <w:t xml:space="preserve">facilitate (instead, say something specific about how you’re helping)</w:t>
      </w:r>
    </w:p>
    <w:p>
      <w:pPr>
        <w:numPr>
          <w:ilvl w:val="0"/>
          <w:numId w:val="1025"/>
        </w:numPr>
        <w:pStyle w:val="Compact"/>
      </w:pPr>
      <w:r>
        <w:t xml:space="preserve">focusing</w:t>
      </w:r>
    </w:p>
    <w:p>
      <w:pPr>
        <w:numPr>
          <w:ilvl w:val="0"/>
          <w:numId w:val="1025"/>
        </w:numPr>
        <w:pStyle w:val="Compact"/>
      </w:pPr>
      <w:r>
        <w:t xml:space="preserve">key (unless it unlocks something. A subject/thing is not key - it’s probably important)</w:t>
      </w:r>
    </w:p>
    <w:bookmarkEnd w:id="49"/>
    <w:bookmarkEnd w:id="50"/>
    <w:bookmarkEnd w:id="51"/>
    <w:bookmarkStart w:id="60"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2">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5"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3">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4">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5"/>
    <w:bookmarkStart w:id="56"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56"/>
    <w:bookmarkStart w:id="57"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7"/>
    <w:bookmarkStart w:id="58"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58"/>
    <w:bookmarkStart w:id="59" w:name="ukfsr-package"/>
    <w:p>
      <w:pPr>
        <w:pStyle w:val="Heading2"/>
      </w:pPr>
      <w:r>
        <w:rPr>
          <w:rStyle w:val="SectionNumber"/>
        </w:rPr>
        <w:t xml:space="preserve">3.5</w:t>
      </w:r>
      <w:r>
        <w:tab/>
      </w:r>
      <w:r>
        <w:t xml:space="preserve">Helpers</w:t>
      </w:r>
    </w:p>
    <w:p>
      <w:pPr>
        <w:pStyle w:val="FirstParagraph"/>
      </w:pPr>
      <w:r>
        <w:t xml:space="preserve">The</w:t>
      </w:r>
      <w:r>
        <w:t xml:space="preserve"> </w:t>
      </w:r>
      <w:hyperlink r:id="rId24">
        <w:r>
          <w:rPr>
            <w:rStyle w:val="VerbatimChar"/>
          </w:rPr>
          <w:t xml:space="preserve">ukfsr</w:t>
        </w:r>
      </w:hyperlink>
      <w:r>
        <w:t xml:space="preserve"> </w:t>
      </w:r>
      <w:r>
        <w:t xml:space="preserve">package contains functions</w:t>
      </w:r>
      <w:r>
        <w:t xml:space="preserve"> </w:t>
      </w:r>
      <w:r>
        <w:t xml:space="preserve">to assist with preparing the report.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bookmarkEnd w:id="59"/>
    <w:bookmarkEnd w:id="60"/>
    <w:bookmarkStart w:id="70"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1" w:name="format"/>
    <w:p>
      <w:pPr>
        <w:pStyle w:val="Heading2"/>
      </w:pPr>
      <w:r>
        <w:rPr>
          <w:rStyle w:val="SectionNumber"/>
        </w:rPr>
        <w:t xml:space="preserve">4.1</w:t>
      </w:r>
      <w:r>
        <w:tab/>
      </w:r>
      <w:r>
        <w:t xml:space="preserve">Format</w:t>
      </w:r>
    </w:p>
    <w:p>
      <w:pPr>
        <w:pStyle w:val="FirstParagraph"/>
      </w:pPr>
      <w:r>
        <w:t xml:space="preserve">The data underlying each chart should be stored in csv format.</w:t>
      </w:r>
    </w:p>
    <w:bookmarkEnd w:id="61"/>
    <w:bookmarkStart w:id="66"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2"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2"/>
    <w:bookmarkStart w:id="63"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Layout w:type="fixed"/>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3"/>
    <w:bookmarkStart w:id="64"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 If you use the</w:t>
      </w:r>
      <w:r>
        <w:t xml:space="preserve"> </w:t>
      </w:r>
      <w:r>
        <w:rPr>
          <w:rStyle w:val="VerbatimChar"/>
        </w:rPr>
        <w:t xml:space="preserve">ukfsr::save_*()</w:t>
      </w:r>
      <w:r>
        <w:t xml:space="preserve"> </w:t>
      </w:r>
      <w:r>
        <w:t xml:space="preserve">function, it will ensure your files adhere to the standard (see</w:t>
      </w:r>
      <w:r>
        <w:t xml:space="preserve"> </w:t>
      </w:r>
      <w:r>
        <w:t xml:space="preserve">3.5</w:t>
      </w:r>
      <w:r>
        <w:t xml:space="preserve">).</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4"/>
    <w:bookmarkStart w:id="65"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w:t>
      </w:r>
      <w:r>
        <w:t xml:space="preserve"> </w:t>
      </w:r>
      <w:hyperlink r:id="rId23">
        <w:r>
          <w:rPr>
            <w:rStyle w:val="Hyperlink"/>
          </w:rPr>
          <w:t xml:space="preserve">UKFSR2024</w:t>
        </w:r>
      </w:hyperlink>
      <w:r>
        <w:t xml:space="preserve"> </w:t>
      </w:r>
      <w:r>
        <w:t xml:space="preserve">Github repository. It is crucial that the content code for graphics and related output is captured here.</w:t>
      </w:r>
    </w:p>
    <w:bookmarkEnd w:id="65"/>
    <w:bookmarkEnd w:id="66"/>
    <w:bookmarkStart w:id="69"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67"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67"/>
    <w:bookmarkStart w:id="68"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bucket: Replace this with the actual S3 bucket name, e.g., s3-ranch-054.</w:t>
      </w:r>
    </w:p>
    <w:p>
      <w:pPr>
        <w:numPr>
          <w:ilvl w:val="0"/>
          <w:numId w:val="1030"/>
        </w:numPr>
      </w:pPr>
      <w:r>
        <w:t xml:space="preserve">folder: Replace this with the specific folder path within the bucket, e.g., theme_3. This can include subfolders using forward slashes (e.g., theme_3/t3_1_2/output/graphics).</w:t>
      </w:r>
    </w:p>
    <w:p>
      <w:pPr>
        <w:numPr>
          <w:ilvl w:val="0"/>
          <w:numId w:val="1030"/>
        </w:numPr>
      </w:pPr>
      <w:r>
        <w:t xml:space="preserve">local_folder: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68"/>
    <w:bookmarkEnd w:id="69"/>
    <w:bookmarkEnd w:id="70"/>
    <w:bookmarkStart w:id="76" w:name="theme-guides"/>
    <w:p>
      <w:pPr>
        <w:pStyle w:val="Heading1"/>
      </w:pPr>
      <w:r>
        <w:rPr>
          <w:rStyle w:val="SectionNumber"/>
        </w:rPr>
        <w:t xml:space="preserve">5</w:t>
      </w:r>
      <w:r>
        <w:tab/>
      </w:r>
      <w:r>
        <w:t xml:space="preserve">Theme guides</w:t>
      </w:r>
    </w:p>
    <w:bookmarkStart w:id="71" w:name="theme-1"/>
    <w:p>
      <w:pPr>
        <w:pStyle w:val="Heading2"/>
      </w:pPr>
      <w:r>
        <w:rPr>
          <w:rStyle w:val="SectionNumber"/>
        </w:rPr>
        <w:t xml:space="preserve">5.1</w:t>
      </w:r>
      <w:r>
        <w:tab/>
      </w:r>
      <w:r>
        <w:t xml:space="preserve">Theme 1</w:t>
      </w:r>
    </w:p>
    <w:bookmarkEnd w:id="71"/>
    <w:bookmarkStart w:id="72" w:name="theme-2"/>
    <w:p>
      <w:pPr>
        <w:pStyle w:val="Heading2"/>
      </w:pPr>
      <w:r>
        <w:rPr>
          <w:rStyle w:val="SectionNumber"/>
        </w:rPr>
        <w:t xml:space="preserve">5.2</w:t>
      </w:r>
      <w:r>
        <w:tab/>
      </w:r>
      <w:r>
        <w:t xml:space="preserve">Theme 2</w:t>
      </w:r>
    </w:p>
    <w:bookmarkEnd w:id="72"/>
    <w:bookmarkStart w:id="73" w:name="theme-3"/>
    <w:p>
      <w:pPr>
        <w:pStyle w:val="Heading2"/>
      </w:pPr>
      <w:r>
        <w:rPr>
          <w:rStyle w:val="SectionNumber"/>
        </w:rPr>
        <w:t xml:space="preserve">5.3</w:t>
      </w:r>
      <w:r>
        <w:tab/>
      </w:r>
      <w:r>
        <w:t xml:space="preserve">Theme 3</w:t>
      </w:r>
    </w:p>
    <w:bookmarkEnd w:id="73"/>
    <w:bookmarkStart w:id="74" w:name="theme-4"/>
    <w:p>
      <w:pPr>
        <w:pStyle w:val="Heading2"/>
      </w:pPr>
      <w:r>
        <w:rPr>
          <w:rStyle w:val="SectionNumber"/>
        </w:rPr>
        <w:t xml:space="preserve">5.4</w:t>
      </w:r>
      <w:r>
        <w:tab/>
      </w:r>
      <w:r>
        <w:t xml:space="preserve">Theme 4</w:t>
      </w:r>
    </w:p>
    <w:bookmarkEnd w:id="74"/>
    <w:bookmarkStart w:id="75" w:name="theme-5"/>
    <w:p>
      <w:pPr>
        <w:pStyle w:val="Heading2"/>
      </w:pPr>
      <w:r>
        <w:rPr>
          <w:rStyle w:val="SectionNumber"/>
        </w:rPr>
        <w:t xml:space="preserve">5.5</w:t>
      </w:r>
      <w:r>
        <w:tab/>
      </w:r>
      <w:r>
        <w:t xml:space="preserve">Theme 5</w:t>
      </w:r>
    </w:p>
    <w:bookmarkEnd w:id="75"/>
    <w:bookmarkEnd w:id="76"/>
    <w:bookmarkStart w:id="88" w:name="web"/>
    <w:p>
      <w:pPr>
        <w:pStyle w:val="Heading1"/>
      </w:pPr>
      <w:r>
        <w:rPr>
          <w:rStyle w:val="SectionNumber"/>
        </w:rPr>
        <w:t xml:space="preserve">6</w:t>
      </w:r>
      <w:r>
        <w:tab/>
      </w:r>
      <w:r>
        <w:t xml:space="preserve">Web publishing guidance</w:t>
      </w:r>
    </w:p>
    <w:bookmarkStart w:id="78"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7">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78"/>
    <w:bookmarkStart w:id="79"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79"/>
    <w:bookmarkStart w:id="80"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graphics (be they PNG or SVG format) from each Word document and place them in a separately created /images/media folder as .png files, leaving behind just a placeholder for the graphic in the text, e.g. </w:t>
      </w:r>
    </w:p>
    <w:p>
      <w:pPr>
        <w:pStyle w:val="SourceCode"/>
      </w:pPr>
      <w:r>
        <w:rPr>
          <w:rStyle w:val="VerbatimChar"/>
        </w:rPr>
        <w:t xml:space="preserve">&lt;img src="./images/media/image1.png" style="width:6.69375in;height:2.75347in" /&gt;</w:t>
      </w:r>
    </w:p>
    <w:bookmarkEnd w:id="80"/>
    <w:bookmarkStart w:id="82"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1">
        <w:r>
          <w:rPr>
            <w:rStyle w:val="Hyperlink"/>
          </w:rPr>
          <w:t xml:space="preserve">Govspeak converter and preview page</w:t>
        </w:r>
      </w:hyperlink>
      <w:r>
        <w:t xml:space="preserve"> </w:t>
      </w:r>
      <w:r>
        <w:t xml:space="preserve">and viewing the output on the page.</w:t>
      </w:r>
    </w:p>
    <w:p>
      <w:pPr>
        <w:pStyle w:val="BodyText"/>
      </w:pPr>
      <w:r>
        <w:rPr>
          <w:bCs/>
          <w:b/>
        </w:rPr>
        <w:t xml:space="preserve">Graphics handling:</w:t>
      </w:r>
      <w:r>
        <w:t xml:space="preserve"> </w:t>
      </w:r>
      <w:r>
        <w:t xml:space="preserve">after Word document conversion, directly below the graphic title, replace the abovementioned placeholder with a descriptor (within square brackets) containing the graphic filename (with the correct nomenclature) with a</w:t>
      </w:r>
      <w:r>
        <w:t xml:space="preserve"> </w:t>
      </w:r>
      <w:r>
        <w:t xml:space="preserve">‘</w:t>
      </w:r>
      <w:r>
        <w:t xml:space="preserve">.svg</w:t>
      </w:r>
      <w:r>
        <w:t xml:space="preserve">’</w:t>
      </w:r>
      <w:r>
        <w:t xml:space="preserve"> </w:t>
      </w:r>
      <w:r>
        <w:t xml:space="preserve">suffix, i.e.</w:t>
      </w:r>
    </w:p>
    <w:p>
      <w:pPr>
        <w:pStyle w:val="SourceCode"/>
      </w:pPr>
      <w:r>
        <w:rPr>
          <w:rStyle w:val="VerbatimChar"/>
        </w:rPr>
        <w:t xml:space="preserve">[Image: X_s_nv_description.svg]</w:t>
      </w:r>
    </w:p>
    <w:p>
      <w:pPr>
        <w:pStyle w:val="FirstParagraph"/>
      </w:pPr>
      <w:r>
        <w:t xml:space="preserve">(where X is theme number, s is section number, n is indicator number, v is indicator variant, e.g. a,b,c, etc., description is content descriptor), leaving a blank line before and after. The .SVG files will have been generated using the relevant R code by each analyst and saved in the Amazon S3 bucket.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rPr>
          <w:rStyle w:val="VerbatimChar"/>
        </w:rPr>
        <w:t xml:space="preserve">X_s_nv_description.svg</w:t>
      </w:r>
      <w:r>
        <w:t xml:space="preserve"> </w:t>
      </w:r>
      <w:r>
        <w:t xml:space="preserve">.SVG filenames manually into the prompt box underneath each graphic on the Whitehall GOV.UK Publisher landing page so as to match the .SVG file nomenclature in the</w:t>
      </w:r>
      <w:r>
        <w:t xml:space="preserve"> </w:t>
      </w:r>
      <w:r>
        <w:rPr>
          <w:rStyle w:val="VerbatimChar"/>
        </w:rPr>
        <w:t xml:space="preserve">[Image: X_s_nv_description.svg]</w:t>
      </w:r>
      <w:r>
        <w:t xml:space="preserve"> </w:t>
      </w:r>
      <w:r>
        <w:t xml:space="preserve">line.</w:t>
      </w:r>
    </w:p>
    <w:p>
      <w:pPr>
        <w:pStyle w:val="BodyText"/>
      </w:pPr>
      <w:r>
        <w:t xml:space="preserve">For the situation of tables allowing for the switching between bar chart and table/accessible view, this involves a simple option entered below the formatted table, e.g.</w:t>
      </w:r>
    </w:p>
    <w:p>
      <w:pPr>
        <w:pStyle w:val="SourceCode"/>
      </w:pPr>
      <w:r>
        <w:rPr>
          <w:rStyle w:val="VerbatimChar"/>
        </w:rPr>
        <w:t xml:space="preserve">**Figure 5.1.4c:** FSS breakdown of incidents by category between 2015 to 2016 and 2020 to 2021</w:t>
      </w:r>
      <w:r>
        <w:br/>
      </w:r>
      <w:r>
        <w:br/>
      </w:r>
      <w:r>
        <w:rPr>
          <w:rStyle w:val="VerbatimChar"/>
        </w:rPr>
        <w:t xml:space="preserve">| **Category**       | **FYE 2016** | **FYE 2017** | **FYE 2018** | **FYE 2019** | **FYE 2020** | **FYE 2021** |</w:t>
      </w:r>
      <w:r>
        <w:br/>
      </w:r>
      <w:r>
        <w:rPr>
          <w:rStyle w:val="VerbatimChar"/>
        </w:rPr>
        <w:t xml:space="preserve">|--------------------------------------------|------------:|------------:|------------:|------------:|------------:|------------:|</w:t>
      </w:r>
      <w:r>
        <w:br/>
      </w:r>
      <w:r>
        <w:rPr>
          <w:rStyle w:val="VerbatimChar"/>
        </w:rPr>
        <w:t xml:space="preserve">| Allergens          | 11  | 8   | 21  | 20  | 18  | 13  |</w:t>
      </w:r>
      <w:r>
        <w:br/>
      </w:r>
      <w:r>
        <w:rPr>
          <w:rStyle w:val="VerbatimChar"/>
        </w:rPr>
        <w:t xml:space="preserve">| Animal Feed        | 5   | 3   | 7   | 9   | 4   | 4   |</w:t>
      </w:r>
      <w:r>
        <w:br/>
      </w:r>
      <w:r>
        <w:rPr>
          <w:rStyle w:val="VerbatimChar"/>
        </w:rPr>
        <w:t xml:space="preserve">| Chemical       | 5   | 1   | 14  | 8   | 10  | 17  |</w:t>
      </w:r>
      <w:r>
        <w:br/>
      </w:r>
      <w:r>
        <w:rPr>
          <w:rStyle w:val="VerbatimChar"/>
        </w:rPr>
        <w:t xml:space="preserve">| Emergency          | 4   | 9   | 11  | 6   | 4   | 2   |</w:t>
      </w:r>
      <w:r>
        <w:br/>
      </w:r>
      <w:r>
        <w:rPr>
          <w:rStyle w:val="VerbatimChar"/>
        </w:rPr>
        <w:t xml:space="preserve">| Genetically Modified Organism / Novel Food | 1   | 0   | 0   | 1   | 3   | 5   |</w:t>
      </w:r>
      <w:r>
        <w:br/>
      </w:r>
      <w:r>
        <w:rPr>
          <w:rStyle w:val="VerbatimChar"/>
        </w:rPr>
        <w:t xml:space="preserve">| Illegal Activity       | 10  | 5   | 1   | 1   | 3   | 6   |</w:t>
      </w:r>
      <w:r>
        <w:br/>
      </w:r>
      <w:r>
        <w:rPr>
          <w:rStyle w:val="VerbatimChar"/>
        </w:rPr>
        <w:t xml:space="preserve">| Microbiological        | 20  | 23  | 23  | 24  | 27  | 17  |</w:t>
      </w:r>
      <w:r>
        <w:br/>
      </w:r>
      <w:r>
        <w:rPr>
          <w:rStyle w:val="VerbatimChar"/>
        </w:rPr>
        <w:t xml:space="preserve">| On-farm        | 12  | 18  | 9   | 6   | 7   | 11  |</w:t>
      </w:r>
      <w:r>
        <w:br/>
      </w:r>
      <w:r>
        <w:rPr>
          <w:rStyle w:val="VerbatimChar"/>
        </w:rPr>
        <w:t xml:space="preserve">| Other          | 3   | 1   | 2   | 3   | 1   | 0   |</w:t>
      </w:r>
      <w:r>
        <w:br/>
      </w:r>
      <w:r>
        <w:rPr>
          <w:rStyle w:val="VerbatimChar"/>
        </w:rPr>
        <w:t xml:space="preserve">| Physical       | 1   | 1   | 3   | 7   | 7   | 2   |</w:t>
      </w:r>
      <w:r>
        <w:br/>
      </w:r>
      <w:r>
        <w:rPr>
          <w:rStyle w:val="VerbatimChar"/>
        </w:rPr>
        <w:t xml:space="preserve">| Production Error       | 3   | 3   | 6   | 7   | 7   | 4   |</w:t>
      </w:r>
      <w:r>
        <w:br/>
      </w:r>
      <w:r>
        <w:rPr>
          <w:rStyle w:val="VerbatimChar"/>
        </w:rPr>
        <w:t xml:space="preserve">| Regulatory Breach      | 11  | 17  | 22  | 17  | 4   | 8   |</w:t>
      </w:r>
      <w:r>
        <w:br/>
      </w:r>
      <w:r>
        <w:rPr>
          <w:rStyle w:val="VerbatimChar"/>
        </w:rPr>
        <w:t xml:space="preserve">| Shellfish[^9]      | 66  | 15  | 15  | 3   | 3   | 5   |</w:t>
      </w:r>
      <w:r>
        <w:br/>
      </w:r>
      <w:r>
        <w:rPr>
          <w:rStyle w:val="VerbatimChar"/>
        </w:rPr>
        <w:t xml:space="preserve">| **Total**          | **152** | **104** | **134** | **112** | **98**  | **94**  |</w:t>
      </w:r>
      <w:r>
        <w:br/>
      </w:r>
      <w:r>
        <w:rPr>
          <w:rStyle w:val="VerbatimChar"/>
        </w:rPr>
        <w:t xml:space="preserve">{barchart}</w:t>
      </w:r>
    </w:p>
    <w:p>
      <w:pPr>
        <w:pStyle w:val="FirstParagraph"/>
      </w:pPr>
      <w:r>
        <w:t xml:space="preserve">where</w:t>
      </w:r>
      <w:r>
        <w:t xml:space="preserve"> </w:t>
      </w:r>
      <w:r>
        <w:rPr>
          <w:rStyle w:val="VerbatimChar"/>
        </w:rPr>
        <w:t xml:space="preserve">{barchart}</w:t>
      </w:r>
      <w:r>
        <w:t xml:space="preserve"> </w:t>
      </w:r>
      <w:r>
        <w:t xml:space="preserve">refers to a simple bar chart (multiple columns will display as grouped bars), alternatively use</w:t>
      </w:r>
      <w:r>
        <w:t xml:space="preserve"> </w:t>
      </w:r>
      <w:r>
        <w:rPr>
          <w:rStyle w:val="VerbatimChar"/>
        </w:rPr>
        <w:t xml:space="preserve">{barchart stacked}</w:t>
      </w:r>
      <w:r>
        <w:t xml:space="preserve"> </w:t>
      </w:r>
      <w:r>
        <w:t xml:space="preserve">for a stacked bar chart (the final column is used to display the total), use</w:t>
      </w:r>
      <w:r>
        <w:t xml:space="preserve"> </w:t>
      </w:r>
      <w:r>
        <w:rPr>
          <w:rStyle w:val="VerbatimChar"/>
        </w:rPr>
        <w:t xml:space="preserve">{barchart compact}</w:t>
      </w:r>
      <w:r>
        <w:t xml:space="preserve"> </w:t>
      </w:r>
      <w:r>
        <w:t xml:space="preserve">for a compact bar chart (this saves space by shrinking the chart), use</w:t>
      </w:r>
      <w:r>
        <w:t xml:space="preserve"> </w:t>
      </w:r>
      <w:r>
        <w:rPr>
          <w:rStyle w:val="VerbatimChar"/>
        </w:rPr>
        <w:t xml:space="preserve">{barchart negative}</w:t>
      </w:r>
      <w:r>
        <w:t xml:space="preserve"> </w:t>
      </w:r>
      <w:r>
        <w:t xml:space="preserve">if there are negative data values. For combining different styles of bar chart, use more than one tag on separate lines. For example, to create a compact negative chart add:</w:t>
      </w:r>
    </w:p>
    <w:p>
      <w:pPr>
        <w:pStyle w:val="SourceCode"/>
      </w:pPr>
      <w:r>
        <w:rPr>
          <w:rStyle w:val="VerbatimChar"/>
        </w:rPr>
        <w:t xml:space="preserve">{barchart negative}</w:t>
      </w:r>
      <w:r>
        <w:br/>
      </w:r>
      <w:r>
        <w:rPr>
          <w:rStyle w:val="VerbatimChar"/>
        </w:rPr>
        <w:t xml:space="preserve">{barchart compact}</w:t>
      </w:r>
    </w:p>
    <w:p>
      <w:pPr>
        <w:pStyle w:val="FirstParagraph"/>
      </w:pPr>
      <w:r>
        <w:t xml:space="preserve">Check each graphic has an appropriate line covering accessibility considerations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t xml:space="preserve">‘</w:t>
      </w:r>
      <w:r>
        <w:rPr>
          <w:bCs/>
          <w:b/>
        </w:rPr>
        <w:t xml:space="preserve">Text description of Figure XX.X:</w:t>
      </w:r>
      <w:r>
        <w:t xml:space="preserve"> </w:t>
      </w:r>
      <w:r>
        <w:t xml:space="preserve">Figure X is a line chart showing the nitrogen soil nutrient balance on farms from 2000 to 2021. Balances are presented as kilogrammes per hectare (kg/ha). Balances have fluctuated slightly over time but have remained between 80 kg/ha and 100 kg/ha since 2002.</w:t>
      </w:r>
      <w:r>
        <w:t xml:space="preserve">’</w:t>
      </w:r>
      <w:r>
        <w:t xml:space="preserve"> </w:t>
      </w:r>
      <w:r>
        <w:t xml:space="preserve">In essence, this sentence is an expansion of the graphic title itself, expanding upon a literal description of the chart, highlighting the key messages and trends.</w:t>
      </w:r>
    </w:p>
    <w:p>
      <w:pPr>
        <w:pStyle w:val="BodyText"/>
      </w:pPr>
      <w:r>
        <w:rPr>
          <w:bCs/>
          <w:b/>
        </w:rPr>
        <w:t xml:space="preserve">ODS files:</w:t>
      </w:r>
      <w:r>
        <w:t xml:space="preserve"> </w:t>
      </w:r>
      <w:r>
        <w:t xml:space="preserve">Each theme has its own dedicated link within the landing page. It will also have a bespoke download link for a specific, accessible, .ODS file containing all .CSV file entries in separate, formatted, worksheet tabs (the tabs being named with the filename naming convention, see below). The formatting for each tab should essentially contain the usual contact details, etc. Within each theme text file (and underneath each graphic) there will be a placeholder for downloading the appropriate ODS file for that theme. The current standard GOV.UK nomenclature for downloading an ODS file is, e.g.</w:t>
      </w:r>
    </w:p>
    <w:p>
      <w:pPr>
        <w:pStyle w:val="SourceCode"/>
      </w:pPr>
      <w:r>
        <w:rPr>
          <w:rStyle w:val="VerbatimChar"/>
        </w:rPr>
        <w:t xml:space="preserve">[Download the data for this chart](https://assets.publishing.service.gov.uk/media/NODE/X_s_nv_description_DATE.ods)</w:t>
      </w:r>
    </w:p>
    <w:p>
      <w:pPr>
        <w:pStyle w:val="FirstParagraph"/>
      </w:pPr>
      <w:r>
        <w:t xml:space="preserve">where X is theme number, s is section number, n is indicator number, v is indicator variant, e.g. a,b,c, etc., description is content descriptor, DATE is publication date, in the recommended format e.g. 01jan2024. It will be good practice to have this placeholder url placed directly underneath the accessibility text (as described above); the onduty publisher will insert the unique</w:t>
      </w:r>
      <w:r>
        <w:t xml:space="preserve"> </w:t>
      </w:r>
      <w:r>
        <w:t xml:space="preserve">‘</w:t>
      </w:r>
      <w:r>
        <w:t xml:space="preserve">node</w:t>
      </w:r>
      <w:r>
        <w:t xml:space="preserve">’</w:t>
      </w:r>
      <w:r>
        <w:t xml:space="preserve"> </w:t>
      </w:r>
      <w:r>
        <w:t xml:space="preserve">for each graphic file download url in the final publishing step before sending a preview page of the UKFSR report to the team or submitting the final version of the UKFSR report for 2i publishing approval.</w:t>
      </w:r>
    </w:p>
    <w:bookmarkEnd w:id="82"/>
    <w:bookmarkStart w:id="85" w:name="formatting"/>
    <w:p>
      <w:pPr>
        <w:pStyle w:val="Heading2"/>
      </w:pPr>
      <w:r>
        <w:rPr>
          <w:rStyle w:val="SectionNumber"/>
        </w:rPr>
        <w:t xml:space="preserve">6.5</w:t>
      </w:r>
      <w:r>
        <w:tab/>
      </w:r>
      <w:r>
        <w:t xml:space="preserve">Formatting</w:t>
      </w:r>
    </w:p>
    <w:p>
      <w:pPr>
        <w:numPr>
          <w:ilvl w:val="0"/>
          <w:numId w:val="1032"/>
        </w:numPr>
        <w:pStyle w:val="Compact"/>
      </w:pPr>
      <w:r>
        <w:t xml:space="preserve">To add external links to GOV.UK pages, use square brackets [] around the link text and round brackets () around the link URL, i.e. </w:t>
      </w:r>
    </w:p>
    <w:p>
      <w:pPr>
        <w:pStyle w:val="SourceCode"/>
      </w:pPr>
      <w:r>
        <w:rPr>
          <w:rStyle w:val="VerbatimChar"/>
        </w:rPr>
        <w:t xml:space="preserve">[LINK TEXT](url)</w:t>
      </w:r>
    </w:p>
    <w:p>
      <w:pPr>
        <w:pStyle w:val="FirstParagraph"/>
      </w:pPr>
      <w:r>
        <w:t xml:space="preserve">Make sure there are no spaces between the brackets or the link will not work. Alternatively (if appropriate),</w:t>
      </w:r>
      <w:r>
        <w:t xml:space="preserve"> </w:t>
      </w:r>
      <w:r>
        <w:t xml:space="preserve">“</w:t>
      </w:r>
      <w:r>
        <w:t xml:space="preserve">square bracket entries</w:t>
      </w:r>
      <w:r>
        <w:t xml:space="preserve">”</w:t>
      </w:r>
      <w:r>
        <w:t xml:space="preserve"> </w:t>
      </w:r>
      <w:r>
        <w:t xml:space="preserve">can exist in isolation, the main link appearing at the bottom of the text file, e.g. in the text file body:</w:t>
      </w:r>
    </w:p>
    <w:p>
      <w:pPr>
        <w:pStyle w:val="SourceCode"/>
      </w:pPr>
      <w:r>
        <w:rPr>
          <w:rStyle w:val="VerbatimChar"/>
        </w:rPr>
        <w:t xml:space="preserve">'Further information on National Statistics can be found on the [Office for Statistics Regulation] website'</w:t>
      </w:r>
    </w:p>
    <w:p>
      <w:pPr>
        <w:pStyle w:val="FirstParagraph"/>
      </w:pPr>
      <w:r>
        <w:t xml:space="preserve">is augmented by</w:t>
      </w:r>
    </w:p>
    <w:p>
      <w:pPr>
        <w:pStyle w:val="SourceCode"/>
      </w:pPr>
      <w:r>
        <w:rPr>
          <w:rStyle w:val="VerbatimChar"/>
        </w:rPr>
        <w:t xml:space="preserve">'[Office for Statistics Regulation]: https://osr.statisticsauthority.gov.uk/national-statistics/'</w:t>
      </w:r>
    </w:p>
    <w:p>
      <w:pPr>
        <w:pStyle w:val="FirstParagraph"/>
      </w:pPr>
      <w:r>
        <w:t xml:space="preserve">at the bottom of the text file. Likewise, for referal to offficial</w:t>
      </w:r>
      <w:r>
        <w:t xml:space="preserve"> </w:t>
      </w:r>
      <w:r>
        <w:t xml:space="preserve">“</w:t>
      </w:r>
      <w:r>
        <w:t xml:space="preserve">tweets</w:t>
      </w:r>
      <w:r>
        <w:t xml:space="preserve">”</w:t>
      </w:r>
      <w:r>
        <w:t xml:space="preserve">,</w:t>
      </w:r>
    </w:p>
    <w:p>
      <w:pPr>
        <w:pStyle w:val="SourceCode"/>
      </w:pPr>
      <w:r>
        <w:rPr>
          <w:rStyle w:val="VerbatimChar"/>
        </w:rPr>
        <w:t xml:space="preserve">'You can also contact us via Twitter: [@DefraStats]'</w:t>
      </w:r>
    </w:p>
    <w:p>
      <w:pPr>
        <w:pStyle w:val="FirstParagraph"/>
      </w:pPr>
      <w:r>
        <w:t xml:space="preserve">in the text file body is augmented by</w:t>
      </w:r>
    </w:p>
    <w:p>
      <w:pPr>
        <w:pStyle w:val="SourceCode"/>
      </w:pPr>
      <w:r>
        <w:rPr>
          <w:rStyle w:val="VerbatimChar"/>
        </w:rPr>
        <w:t xml:space="preserve">'[@DefraStats]: https://twitter.com/defrastats'</w:t>
      </w:r>
    </w:p>
    <w:p>
      <w:pPr>
        <w:pStyle w:val="FirstParagraph"/>
      </w:pPr>
      <w:r>
        <w:t xml:space="preserve">at the bottom of the text file. This also permits the possibility of emphasising links by way of underlining,</w:t>
      </w:r>
    </w:p>
    <w:p>
      <w:pPr>
        <w:pStyle w:val="SourceCode"/>
      </w:pPr>
      <w:r>
        <w:rPr>
          <w:rStyle w:val="VerbatimChar"/>
        </w:rPr>
        <w:t xml:space="preserve">It fulfils a duty under [&lt;u&gt;Part 2, Chapter 1 (Section 19) of the Agriculture Act 2020&lt;/u&gt;] to prepare and lay before Parliament'</w:t>
      </w:r>
    </w:p>
    <w:p>
      <w:pPr>
        <w:pStyle w:val="FirstParagraph"/>
      </w:pPr>
      <w:r>
        <w:t xml:space="preserve">in the text file body is then augmented by</w:t>
      </w:r>
    </w:p>
    <w:p>
      <w:pPr>
        <w:pStyle w:val="SourceCode"/>
      </w:pPr>
      <w:r>
        <w:rPr>
          <w:rStyle w:val="VerbatimChar"/>
        </w:rPr>
        <w:t xml:space="preserve">'[&lt;u&gt;Part 2, Chapter 1 (Section 19) of the Agriculture Act 2020&lt;/u&gt;]: https://www.legislation.gov.uk/ukpga/2020/21/section/19/enacted'</w:t>
      </w:r>
    </w:p>
    <w:p>
      <w:pPr>
        <w:pStyle w:val="FirstParagraph"/>
      </w:pPr>
      <w:r>
        <w:t xml:space="preserve">at the bottom of the text file.</w:t>
      </w:r>
    </w:p>
    <w:p>
      <w:pPr>
        <w:pStyle w:val="BodyText"/>
      </w:pPr>
      <w:r>
        <w:t xml:space="preserve">When linking to any Whitehall content, use the Whitehall publisher link and not the website URL. The first part of the URL</w:t>
      </w:r>
    </w:p>
    <w:p>
      <w:pPr>
        <w:pStyle w:val="SourceCode"/>
      </w:pPr>
      <w:r>
        <w:rPr>
          <w:rStyle w:val="VerbatimChar"/>
        </w:rPr>
        <w:t xml:space="preserve">https://whitehall-admin.publishing.service.gov.uk/</w:t>
      </w:r>
    </w:p>
    <w:p>
      <w:pPr>
        <w:pStyle w:val="FirstParagraph"/>
      </w:pPr>
      <w:r>
        <w:t xml:space="preserve">should be used along with the relative path, for example: /government/admin/publications/123456 (i.e. use relative links).</w:t>
      </w:r>
    </w:p>
    <w:p>
      <w:pPr>
        <w:numPr>
          <w:ilvl w:val="0"/>
          <w:numId w:val="1033"/>
        </w:numPr>
        <w:pStyle w:val="Compact"/>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p>
    <w:p>
      <w:pPr>
        <w:pStyle w:val="SourceCode"/>
      </w:pPr>
      <w:r>
        <w:rPr>
          <w:rStyle w:val="VerbatimChar"/>
        </w:rPr>
        <w:t xml:space="preserve">https://www.gov.uk/......#STUBNAME</w:t>
      </w:r>
    </w:p>
    <w:p>
      <w:pPr>
        <w:pStyle w:val="FirstParagraph"/>
      </w:pPr>
      <w:r>
        <w:t xml:space="preserve">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 For example, 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theme section in the publication webpage, which is also indicated on the left hand side section menu window pane of the latter.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The equivalent guidance for graphics (should the option for linking to them directly from the text be desirable) is to have the stub directly after the graphic name, e.g. </w:t>
      </w:r>
      <w:r>
        <w:rPr>
          <w:rStyle w:val="VerbatimChar"/>
        </w:rPr>
        <w:t xml:space="preserve">[Figure 2.1](#Figure-2-1)</w:t>
      </w:r>
      <w:r>
        <w:t xml:space="preserve"> </w:t>
      </w:r>
      <w:r>
        <w:t xml:space="preserve">for both simple graphics as well as graphics that allow for the switching between bar chart and table/accessible views and then put the reference</w:t>
      </w:r>
      <w:r>
        <w:t xml:space="preserve"> </w:t>
      </w:r>
      <w:r>
        <w:rPr>
          <w:rStyle w:val="VerbatimChar"/>
        </w:rPr>
        <w:t xml:space="preserve">{:#Figure-2-1}</w:t>
      </w:r>
      <w:r>
        <w:t xml:space="preserve"> </w:t>
      </w:r>
      <w:r>
        <w:t xml:space="preserve">directly underneath the graphic title, i.e.</w:t>
      </w:r>
    </w:p>
    <w:p>
      <w:pPr>
        <w:pStyle w:val="SourceCode"/>
      </w:pPr>
      <w:r>
        <w:rPr>
          <w:rStyle w:val="VerbatimChar"/>
        </w:rPr>
        <w:t xml:space="preserve">### Figure 2.1 TITLE</w:t>
      </w:r>
      <w:r>
        <w:br/>
      </w:r>
      <w:r>
        <w:rPr>
          <w:rStyle w:val="VerbatimChar"/>
        </w:rPr>
        <w:t xml:space="preserve">{:#Figure-2-1}</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3">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t xml:space="preserve">‘</w:t>
      </w:r>
      <w:r>
        <w:t xml:space="preserve">In 2021, the value of</w:t>
      </w:r>
      <w:r>
        <w:t xml:space="preserve"> </w:t>
      </w:r>
      <w:r>
        <w:t xml:space="preserve">Gross Value Added</w:t>
      </w:r>
      <w:r>
        <w:t xml:space="preserve">’</w:t>
      </w:r>
      <w:r>
        <w:t xml:space="preserve"> </w:t>
      </w:r>
      <w:r>
        <w:t xml:space="preserve">(the underline here referring to the clickable link),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[Theme 2: UK Food Supply Sources](https://www.gov.uk/government/statistics/united-kingdom-food-security-report-2021/united-kingdom-food-security-report-2021-theme-2-uk-food-supply-sources)</w:t>
      </w:r>
    </w:p>
    <w:p>
      <w:pPr>
        <w:pStyle w:val="FirstParagraph"/>
      </w:pPr>
      <w:r>
        <w:t xml:space="preserve">switch to the Table of Contents</w:t>
      </w:r>
    </w:p>
    <w:p>
      <w:pPr>
        <w:pStyle w:val="SourceCode"/>
      </w:pPr>
      <w:r>
        <w:rPr>
          <w:rStyle w:val="VerbatimChar"/>
        </w:rPr>
        <w:t xml:space="preserve">[Theme 2: UK Food Supply Sources](https://www.gov.uk/government/statistics/united-kingdom-food-security-report-2021/united-kingdom-food-security-report-2021-contents)</w:t>
      </w:r>
    </w:p>
    <w:p>
      <w:pPr>
        <w:pStyle w:val="FirstParagraph"/>
      </w:pPr>
      <w:r>
        <w:t xml:space="preserve">switch to the Appendix</w:t>
      </w:r>
    </w:p>
    <w:p>
      <w:pPr>
        <w:pStyle w:val="SourceCode"/>
      </w:pPr>
      <w:r>
        <w:rPr>
          <w:rStyle w:val="VerbatimChar"/>
        </w:rPr>
        <w:t xml:space="preserve">[Appendix](https://www.gov.uk/government/statistics/united-kingdom-food-security-report-2021/united-kingdom-food-security-report-2021-appendix)</w:t>
      </w:r>
    </w:p>
    <w:p>
      <w:pPr>
        <w:pStyle w:val="FirstParagraph"/>
      </w:pPr>
      <w:r>
        <w:t xml:space="preserve">switch to the landing page</w:t>
      </w:r>
    </w:p>
    <w:p>
      <w:pPr>
        <w:pStyle w:val="SourceCode"/>
      </w:pPr>
      <w:r>
        <w:rPr>
          <w:rStyle w:val="VerbatimChar"/>
        </w:rPr>
        <w:t xml:space="preserve">[Return to the United Kingdom Food Security 2021 home page]https://www.gov.uk/government/statistics/united-kingdom-food-security-report-2021</w:t>
      </w:r>
    </w:p>
    <w:p>
      <w:pPr>
        <w:pStyle w:val="FirstParagraph"/>
      </w:pPr>
      <w:r>
        <w:t xml:space="preserve">examples of indicator and Case Study links:</w:t>
      </w:r>
    </w:p>
    <w:p>
      <w:pPr>
        <w:pStyle w:val="SourceCode"/>
      </w:pPr>
      <w:r>
        <w:rPr>
          <w:rStyle w:val="VerbatimChar"/>
        </w:rPr>
        <w:t xml:space="preserve">[Indicator 1.1.1 Global output per capita](https://www.gov.uk/government/statistics/united-kingdom-food-security-report-2021/united-kingdom-food-security-report-2021-theme-1-global-food-availability#united-kingdom-food-security-report-2021-theme1-indicator-1-1-1)</w:t>
      </w:r>
    </w:p>
    <w:p>
      <w:pPr>
        <w:pStyle w:val="SourceCode"/>
      </w:pPr>
      <w:r>
        <w:rPr>
          <w:rStyle w:val="VerbatimChar"/>
        </w:rPr>
        <w:t xml:space="preserve">[Case study 1.1 Plant diseases and pests](https://www.gov.uk/government/statistics/united-kingdom-food-security-report-2021/united-kingdom-food-security-report-2021-theme-1-global-food-availability#united-kingdom-food-security-report-2021-theme1-case_study-1-1)</w:t>
      </w:r>
    </w:p>
    <w:p>
      <w:pPr>
        <w:pStyle w:val="FirstParagraph"/>
      </w:pPr>
      <w:r>
        <w:t xml:space="preserve">This is a particularly useful feature as the use of stubs in this way will lead a reader straight to an indicator/Case Study section in the relevant published Theme page.</w:t>
      </w:r>
    </w:p>
    <w:p>
      <w:pPr>
        <w:pStyle w:val="BodyText"/>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w:t>
      </w:r>
      <w:r>
        <w:t xml:space="preserve">in the</w:t>
      </w:r>
      <w:r>
        <w:t xml:space="preserve"> </w:t>
      </w:r>
      <w:r>
        <w:t xml:space="preserve">‘</w:t>
      </w:r>
      <w:r>
        <w:t xml:space="preserve">Service management good practice</w:t>
      </w:r>
      <w:r>
        <w:t xml:space="preserve">’</w:t>
      </w:r>
      <w:r>
        <w:t xml:space="preserve"> </w:t>
      </w:r>
      <w:r>
        <w:t xml:space="preserve">publication page</w:t>
      </w:r>
      <w:r>
        <w:t xml:space="preserve"> </w:t>
      </w:r>
      <w:hyperlink r:id="rId84">
        <w:r>
          <w:rPr>
            <w:rStyle w:val="Hyperlink"/>
          </w:rPr>
          <w:t xml:space="preserve">Service management good practice</w:t>
        </w:r>
      </w:hyperlink>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4"/>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5"/>
    <w:bookmarkStart w:id="87" w:name="other-useful-things"/>
    <w:p>
      <w:pPr>
        <w:pStyle w:val="Heading2"/>
      </w:pPr>
      <w:r>
        <w:rPr>
          <w:rStyle w:val="SectionNumber"/>
        </w:rPr>
        <w:t xml:space="preserve">6.6</w:t>
      </w:r>
      <w:r>
        <w:tab/>
      </w:r>
      <w:r>
        <w:t xml:space="preserve">Other useful things</w:t>
      </w:r>
    </w:p>
    <w:bookmarkStart w:id="86"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86"/>
    <w:bookmarkEnd w:id="87"/>
    <w:bookmarkEnd w:id="88"/>
    <w:bookmarkStart w:id="92"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89"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5"/>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5"/>
        </w:numPr>
        <w:pStyle w:val="Compact"/>
      </w:pPr>
      <w:r>
        <w:t xml:space="preserve">copy the final section docs into a new folder: this folder is the master print content</w:t>
      </w:r>
    </w:p>
    <w:p>
      <w:pPr>
        <w:numPr>
          <w:ilvl w:val="0"/>
          <w:numId w:val="1035"/>
        </w:numPr>
        <w:pStyle w:val="Compact"/>
      </w:pPr>
      <w:r>
        <w:t xml:space="preserve">get a copy of the Defra doc template which has a default front and back cover</w:t>
      </w:r>
    </w:p>
    <w:p>
      <w:pPr>
        <w:numPr>
          <w:ilvl w:val="0"/>
          <w:numId w:val="1035"/>
        </w:numPr>
        <w:pStyle w:val="Compact"/>
      </w:pPr>
      <w:r>
        <w:t xml:space="preserve">check and secure an ISBN/Defra document number</w:t>
      </w:r>
    </w:p>
    <w:p>
      <w:pPr>
        <w:numPr>
          <w:ilvl w:val="0"/>
          <w:numId w:val="1035"/>
        </w:numPr>
        <w:pStyle w:val="Compact"/>
      </w:pPr>
      <w:r>
        <w:t xml:space="preserve">check any standard copyright notice text</w:t>
      </w:r>
    </w:p>
    <w:p>
      <w:pPr>
        <w:numPr>
          <w:ilvl w:val="0"/>
          <w:numId w:val="1035"/>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6"/>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6"/>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6"/>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6"/>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89"/>
    <w:bookmarkStart w:id="90"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90"/>
    <w:bookmarkStart w:id="91"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1"/>
    <w:bookmarkEnd w:id="92"/>
    <w:bookmarkStart w:id="93" w:name="appendix"/>
    <w:p>
      <w:pPr>
        <w:pStyle w:val="Heading1"/>
      </w:pPr>
      <w:r>
        <w:t xml:space="preserve">Appendix</w:t>
      </w:r>
    </w:p>
    <w:bookmarkEnd w:id="93"/>
    <w:bookmarkStart w:id="104" w:name="miscellaneous"/>
    <w:p>
      <w:pPr>
        <w:pStyle w:val="Heading1"/>
      </w:pPr>
      <w:r>
        <w:rPr>
          <w:rStyle w:val="SectionNumber"/>
        </w:rPr>
        <w:t xml:space="preserve">8</w:t>
      </w:r>
      <w:r>
        <w:tab/>
      </w:r>
      <w:r>
        <w:t xml:space="preserve">Miscellaneous</w:t>
      </w:r>
    </w:p>
    <w:bookmarkStart w:id="94"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4"/>
    <w:bookmarkStart w:id="96" w:name="osr-feedback-on-ukfsr2021"/>
    <w:p>
      <w:pPr>
        <w:pStyle w:val="Heading2"/>
      </w:pPr>
      <w:r>
        <w:rPr>
          <w:rStyle w:val="SectionNumber"/>
        </w:rPr>
        <w:t xml:space="preserve">8.2</w:t>
      </w:r>
      <w:r>
        <w:tab/>
      </w:r>
      <w:r>
        <w:t xml:space="preserve">OSR feedback on UKFSR2021</w:t>
      </w:r>
    </w:p>
    <w:p>
      <w:pPr>
        <w:pStyle w:val="FirstParagraph"/>
      </w:pPr>
      <w:hyperlink r:id="rId95">
        <w:r>
          <w:rPr>
            <w:rStyle w:val="Hyperlink"/>
          </w:rPr>
          <w:t xml:space="preserve">Here.</w:t>
        </w:r>
      </w:hyperlink>
    </w:p>
    <w:bookmarkEnd w:id="96"/>
    <w:bookmarkStart w:id="103" w:name="general-legal-guidance-from-2024"/>
    <w:p>
      <w:pPr>
        <w:pStyle w:val="Heading2"/>
      </w:pPr>
      <w:r>
        <w:rPr>
          <w:rStyle w:val="SectionNumber"/>
        </w:rPr>
        <w:t xml:space="preserve">8.3</w:t>
      </w:r>
      <w:r>
        <w:tab/>
      </w:r>
      <w:r>
        <w:t xml:space="preserve">General legal guidance from 2024</w:t>
      </w:r>
    </w:p>
    <w:bookmarkStart w:id="98" w:name="legal-basis"/>
    <w:p>
      <w:pPr>
        <w:pStyle w:val="Heading3"/>
      </w:pPr>
      <w:r>
        <w:rPr>
          <w:rStyle w:val="SectionNumber"/>
        </w:rPr>
        <w:t xml:space="preserve">8.3.1</w:t>
      </w:r>
      <w:r>
        <w:tab/>
      </w:r>
      <w:r>
        <w:t xml:space="preserve">Legal basis</w:t>
      </w:r>
    </w:p>
    <w:p>
      <w:pPr>
        <w:pStyle w:val="FirstParagraph"/>
      </w:pPr>
      <w:hyperlink r:id="rId97">
        <w:r>
          <w:rPr>
            <w:rStyle w:val="Hyperlink"/>
          </w:rPr>
          <w:t xml:space="preserve">Agriculture Act 2020</w:t>
        </w:r>
      </w:hyperlink>
    </w:p>
    <w:bookmarkEnd w:id="98"/>
    <w:bookmarkStart w:id="102"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99"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99"/>
    <w:bookmarkStart w:id="100"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7"/>
        </w:numPr>
        <w:pStyle w:val="Compact"/>
      </w:pPr>
      <w:r>
        <w:t xml:space="preserve">integration principle</w:t>
      </w:r>
    </w:p>
    <w:p>
      <w:pPr>
        <w:numPr>
          <w:ilvl w:val="0"/>
          <w:numId w:val="1037"/>
        </w:numPr>
        <w:pStyle w:val="Compact"/>
      </w:pPr>
      <w:r>
        <w:t xml:space="preserve">prevention principle</w:t>
      </w:r>
    </w:p>
    <w:p>
      <w:pPr>
        <w:numPr>
          <w:ilvl w:val="0"/>
          <w:numId w:val="1037"/>
        </w:numPr>
        <w:pStyle w:val="Compact"/>
      </w:pPr>
      <w:r>
        <w:t xml:space="preserve">rectification at source principle</w:t>
      </w:r>
    </w:p>
    <w:p>
      <w:pPr>
        <w:numPr>
          <w:ilvl w:val="0"/>
          <w:numId w:val="1037"/>
        </w:numPr>
        <w:pStyle w:val="Compact"/>
      </w:pPr>
      <w:r>
        <w:t xml:space="preserve">polluter pays principle</w:t>
      </w:r>
    </w:p>
    <w:p>
      <w:pPr>
        <w:numPr>
          <w:ilvl w:val="0"/>
          <w:numId w:val="1037"/>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100"/>
    <w:bookmarkStart w:id="101"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1"/>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analysisfunction.civilservice.gov.uk/policy-store/data-visualisation-charts/" TargetMode="External" /><Relationship Type="http://schemas.openxmlformats.org/officeDocument/2006/relationships/hyperlink" Id="rId53"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54" Target="https://best-practice-and-impact.github.io/afcolours/" TargetMode="External" /><Relationship Type="http://schemas.openxmlformats.org/officeDocument/2006/relationships/hyperlink" Id="rId40" Target="https://defra.sharepoint.com/sites/Defraintranet/SitePages/Writing-principles.aspx"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1" Target="https://govspeak-preview.publishing.service.gov.uk/" TargetMode="External" /><Relationship Type="http://schemas.openxmlformats.org/officeDocument/2006/relationships/hyperlink" Id="rId77" Target="https://govspeak-preview.publishing.service.gov.uk/guide" TargetMode="External" /><Relationship Type="http://schemas.openxmlformats.org/officeDocument/2006/relationships/hyperlink" Id="rId95" Target="https://osr.statisticsauthority.gov.uk/correspondence/mark-pont-to-ian-lonsdale-united-kingdom-food-security-report/"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4" Target="https://www.gov.uk/government/publications/public-services-network-psn-service-management-good-practice/service-management-good-practice" TargetMode="External" /><Relationship Type="http://schemas.openxmlformats.org/officeDocument/2006/relationships/hyperlink" Id="rId83"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97" Target="https://www.legislation.gov.uk/ukpga/2020/21/part/2/chapter/1/enacted" TargetMode="External" /></Relationships>
</file>

<file path=word/_rels/footnotes.xml.rels><?xml version="1.0" encoding="UTF-8"?><Relationships xmlns="http://schemas.openxmlformats.org/package/2006/relationships"><Relationship Type="http://schemas.openxmlformats.org/officeDocument/2006/relationships/hyperlink" Id="rId52" Target="https://analysisfunction.civilservice.gov.uk/policy-store/data-visualisation-charts/" TargetMode="External" /><Relationship Type="http://schemas.openxmlformats.org/officeDocument/2006/relationships/hyperlink" Id="rId53"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54" Target="https://best-practice-and-impact.github.io/afcolours/" TargetMode="External" /><Relationship Type="http://schemas.openxmlformats.org/officeDocument/2006/relationships/hyperlink" Id="rId40" Target="https://defra.sharepoint.com/sites/Defraintranet/SitePages/Writing-principles.aspx"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1" Target="https://govspeak-preview.publishing.service.gov.uk/" TargetMode="External" /><Relationship Type="http://schemas.openxmlformats.org/officeDocument/2006/relationships/hyperlink" Id="rId77" Target="https://govspeak-preview.publishing.service.gov.uk/guide" TargetMode="External" /><Relationship Type="http://schemas.openxmlformats.org/officeDocument/2006/relationships/hyperlink" Id="rId95" Target="https://osr.statisticsauthority.gov.uk/correspondence/mark-pont-to-ian-lonsdale-united-kingdom-food-security-report/"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4" Target="https://www.gov.uk/government/publications/public-services-network-psn-service-management-good-practice/service-management-good-practice" TargetMode="External" /><Relationship Type="http://schemas.openxmlformats.org/officeDocument/2006/relationships/hyperlink" Id="rId83"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97" Target="https://www.legislation.gov.uk/ukpga/2020/21/part/2/chapter/1/enac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2024-08-09T10:08:35Z</dcterms:created>
  <dcterms:modified xsi:type="dcterms:W3CDTF">2024-08-09T10:08:35Z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09 August 2024, 11:08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