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21</w:t>
      </w:r>
      <w:r>
        <w:t xml:space="preserve"> </w:t>
      </w:r>
      <w:r>
        <w:t xml:space="preserve">May</w:t>
      </w:r>
      <w:r>
        <w:t xml:space="preserve"> </w:t>
      </w:r>
      <w:r>
        <w:t xml:space="preserve">2024,</w:t>
      </w:r>
      <w:r>
        <w:t xml:space="preserve"> </w:t>
      </w:r>
      <w:r>
        <w:t xml:space="preserve">08:23</w:t>
      </w:r>
      <w:r>
        <w:t xml:space="preserve"> </w:t>
      </w:r>
      <w:r>
        <w:t xml:space="preserve">am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5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1" w:name="accessibility"/>
    <w:p>
      <w:pPr>
        <w:pStyle w:val="Heading2"/>
      </w:pPr>
      <w:r>
        <w:rPr>
          <w:rStyle w:val="SectionNumber"/>
        </w:rPr>
        <w:t xml:space="preserve">2.1</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The Analysis Function has</w:t>
      </w:r>
      <w:r>
        <w:t xml:space="preserve"> </w:t>
      </w:r>
      <w:r>
        <w:t xml:space="preserve">guidance on</w:t>
      </w:r>
      <w:r>
        <w:t xml:space="preserve"> </w:t>
      </w:r>
      <w:hyperlink r:id="rId30">
        <w:r>
          <w:rPr>
            <w:rStyle w:val="Hyperlink"/>
          </w:rPr>
          <w:t xml:space="preserve">accessibility and plain</w:t>
        </w:r>
        <w:r>
          <w:rPr>
            <w:rStyle w:val="Hyperlink"/>
          </w:rPr>
          <w:t xml:space="preserve"> </w:t>
        </w:r>
        <w:r>
          <w:rPr>
            <w:rStyle w:val="Hyperlink"/>
          </w:rPr>
          <w:t xml:space="preserve">English</w:t>
        </w:r>
      </w:hyperlink>
      <w:r>
        <w:t xml:space="preserve">.</w:t>
      </w:r>
    </w:p>
    <w:bookmarkEnd w:id="31"/>
    <w:bookmarkStart w:id="32" w:name="formatting-styles"/>
    <w:p>
      <w:pPr>
        <w:pStyle w:val="Heading2"/>
      </w:pPr>
      <w:r>
        <w:rPr>
          <w:rStyle w:val="SectionNumber"/>
        </w:rPr>
        <w:t xml:space="preserve">2.2</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a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2"/>
    <w:bookmarkStart w:id="33" w:name="spellingword-choice"/>
    <w:p>
      <w:pPr>
        <w:pStyle w:val="Heading2"/>
      </w:pPr>
      <w:r>
        <w:rPr>
          <w:rStyle w:val="SectionNumber"/>
        </w:rPr>
        <w:t xml:space="preserve">2.3</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04"/>
        </w:numPr>
      </w:pPr>
      <w:r>
        <w:t xml:space="preserve">Total Factor Productivity can be abbreviated to TFP. It’s a commonly used abbreviation</w:t>
      </w:r>
    </w:p>
    <w:p>
      <w:pPr>
        <w:numPr>
          <w:ilvl w:val="0"/>
          <w:numId w:val="1004"/>
        </w:numPr>
      </w:pPr>
      <w:r>
        <w:t xml:space="preserve">Production to Supply Ratio does not have a standard abbreviation, do not abbreviate</w:t>
      </w:r>
    </w:p>
    <w:p>
      <w:pPr>
        <w:numPr>
          <w:ilvl w:val="0"/>
          <w:numId w:val="1004"/>
        </w:numPr>
      </w:pPr>
      <w:r>
        <w:t xml:space="preserve">Instead of referring to the cost-of-living crisis, instead say that it is the</w:t>
      </w:r>
      <w:r>
        <w:t xml:space="preserve"> </w:t>
      </w:r>
      <w:r>
        <w:t xml:space="preserve">“</w:t>
      </w:r>
      <w:r>
        <w:t xml:space="preserve">period of high inflation between 2021-2023</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3"/>
    <w:bookmarkStart w:id="34" w:name="sentence-length"/>
    <w:p>
      <w:pPr>
        <w:pStyle w:val="Heading2"/>
      </w:pPr>
      <w:r>
        <w:rPr>
          <w:rStyle w:val="SectionNumber"/>
        </w:rPr>
        <w:t xml:space="preserve">2.4</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4"/>
    <w:bookmarkStart w:id="38" w:name="urlslinks"/>
    <w:p>
      <w:pPr>
        <w:pStyle w:val="Heading2"/>
      </w:pPr>
      <w:r>
        <w:rPr>
          <w:rStyle w:val="SectionNumber"/>
        </w:rPr>
        <w:t xml:space="preserve">2.5</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09"/>
        </w:numPr>
      </w:pPr>
      <w:r>
        <w:rPr>
          <w:bCs/>
          <w:b/>
        </w:rPr>
        <w:t xml:space="preserve">Data links:</w:t>
      </w:r>
      <w:r>
        <w:t xml:space="preserve"> </w:t>
      </w:r>
      <w:r>
        <w:t xml:space="preserve">Every chart must have a csv preview link.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5">
        <w:r>
          <w:rPr>
            <w:rStyle w:val="Hyperlink"/>
          </w:rPr>
          <w:t xml:space="preserve">CPI collection page</w:t>
        </w:r>
      </w:hyperlink>
      <w:r>
        <w:t xml:space="preserve"> </w:t>
      </w:r>
      <w:r>
        <w:t xml:space="preserve">which always shows the catalogue of recent publications, and an individual</w:t>
      </w:r>
      <w:r>
        <w:t xml:space="preserve"> </w:t>
      </w:r>
      <w:hyperlink r:id="rId36">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7">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8"/>
    <w:bookmarkStart w:id="42" w:name="references"/>
    <w:p>
      <w:pPr>
        <w:pStyle w:val="Heading2"/>
      </w:pPr>
      <w:r>
        <w:rPr>
          <w:rStyle w:val="SectionNumber"/>
        </w:rPr>
        <w:t xml:space="preserve">2.6</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1"/>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9">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Pr>
      <w:r>
        <w:t xml:space="preserve">There is a recurring reference through multiple themes to AUK, check for consistency to make sure it is referenced as follows: (Defra.</w:t>
      </w:r>
      <w:r>
        <w:t xml:space="preserve"> </w:t>
      </w:r>
      <w:hyperlink r:id="rId40">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Pr>
      <w:r>
        <w:t xml:space="preserve">Example given on gov.uk: Corallo AN and others.</w:t>
      </w:r>
      <w:r>
        <w:t xml:space="preserve"> </w:t>
      </w:r>
      <w:hyperlink r:id="rId41">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2"/>
    <w:bookmarkStart w:id="43" w:name="acronyms"/>
    <w:p>
      <w:pPr>
        <w:pStyle w:val="Heading2"/>
      </w:pPr>
      <w:r>
        <w:rPr>
          <w:rStyle w:val="SectionNumber"/>
        </w:rPr>
        <w:t xml:space="preserve">2.7</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3"/>
    <w:bookmarkStart w:id="44" w:name="labelling-data"/>
    <w:p>
      <w:pPr>
        <w:pStyle w:val="Heading2"/>
      </w:pPr>
      <w:r>
        <w:rPr>
          <w:rStyle w:val="SectionNumber"/>
        </w:rPr>
        <w:t xml:space="preserve">2.8</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4"/>
    <w:bookmarkStart w:id="45" w:name="indicator-section-headings"/>
    <w:p>
      <w:pPr>
        <w:pStyle w:val="Heading2"/>
      </w:pPr>
      <w:r>
        <w:rPr>
          <w:rStyle w:val="SectionNumber"/>
        </w:rPr>
        <w:t xml:space="preserve">2.9</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5"/>
    <w:bookmarkStart w:id="46" w:name="the-voice"/>
    <w:p>
      <w:pPr>
        <w:pStyle w:val="Heading2"/>
      </w:pPr>
      <w:r>
        <w:rPr>
          <w:rStyle w:val="SectionNumber"/>
        </w:rPr>
        <w:t xml:space="preserve">2.10</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6"/>
    <w:bookmarkStart w:id="47" w:name="e.g.-i.e.-etc."/>
    <w:p>
      <w:pPr>
        <w:pStyle w:val="Heading2"/>
      </w:pPr>
      <w:r>
        <w:rPr>
          <w:rStyle w:val="SectionNumber"/>
        </w:rPr>
        <w:t xml:space="preserve">2.11</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7"/>
    <w:bookmarkStart w:id="48" w:name="symbols"/>
    <w:p>
      <w:pPr>
        <w:pStyle w:val="Heading2"/>
      </w:pPr>
      <w:r>
        <w:rPr>
          <w:rStyle w:val="SectionNumber"/>
        </w:rPr>
        <w:t xml:space="preserve">2.12</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8"/>
    <w:bookmarkStart w:id="49" w:name="numbers"/>
    <w:p>
      <w:pPr>
        <w:pStyle w:val="Heading2"/>
      </w:pPr>
      <w:r>
        <w:rPr>
          <w:rStyle w:val="SectionNumber"/>
        </w:rPr>
        <w:t xml:space="preserve">2.13</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9"/>
    <w:bookmarkStart w:id="50" w:name="quotation-marks"/>
    <w:p>
      <w:pPr>
        <w:pStyle w:val="Heading2"/>
      </w:pPr>
      <w:r>
        <w:rPr>
          <w:rStyle w:val="SectionNumber"/>
        </w:rPr>
        <w:t xml:space="preserve">2.14</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50"/>
    <w:bookmarkEnd w:id="51"/>
    <w:bookmarkStart w:id="60"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2">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4">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5"/>
    <w:bookmarkStart w:id="56"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6"/>
    <w:bookmarkStart w:id="57"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7"/>
    <w:bookmarkStart w:id="58"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8"/>
    <w:bookmarkStart w:id="59"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9"/>
    <w:bookmarkEnd w:id="60"/>
    <w:bookmarkStart w:id="70"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1"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1"/>
    <w:bookmarkStart w:id="66"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2"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2"/>
    <w:bookmarkStart w:id="63"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3"/>
    <w:bookmarkStart w:id="64"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4"/>
    <w:bookmarkStart w:id="65"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5"/>
    <w:bookmarkEnd w:id="66"/>
    <w:bookmarkStart w:id="69"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7"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7"/>
    <w:bookmarkStart w:id="68"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8"/>
    <w:bookmarkEnd w:id="69"/>
    <w:bookmarkEnd w:id="70"/>
    <w:bookmarkStart w:id="76" w:name="theme-guides"/>
    <w:p>
      <w:pPr>
        <w:pStyle w:val="Heading1"/>
      </w:pPr>
      <w:r>
        <w:rPr>
          <w:rStyle w:val="SectionNumber"/>
        </w:rPr>
        <w:t xml:space="preserve">5</w:t>
      </w:r>
      <w:r>
        <w:tab/>
      </w:r>
      <w:r>
        <w:t xml:space="preserve">Theme guides</w:t>
      </w:r>
    </w:p>
    <w:bookmarkStart w:id="71" w:name="theme-1"/>
    <w:p>
      <w:pPr>
        <w:pStyle w:val="Heading2"/>
      </w:pPr>
      <w:r>
        <w:rPr>
          <w:rStyle w:val="SectionNumber"/>
        </w:rPr>
        <w:t xml:space="preserve">5.1</w:t>
      </w:r>
      <w:r>
        <w:tab/>
      </w:r>
      <w:r>
        <w:t xml:space="preserve">Theme 1</w:t>
      </w:r>
    </w:p>
    <w:bookmarkEnd w:id="71"/>
    <w:bookmarkStart w:id="72" w:name="theme-2"/>
    <w:p>
      <w:pPr>
        <w:pStyle w:val="Heading2"/>
      </w:pPr>
      <w:r>
        <w:rPr>
          <w:rStyle w:val="SectionNumber"/>
        </w:rPr>
        <w:t xml:space="preserve">5.2</w:t>
      </w:r>
      <w:r>
        <w:tab/>
      </w:r>
      <w:r>
        <w:t xml:space="preserve">Theme 2</w:t>
      </w:r>
    </w:p>
    <w:bookmarkEnd w:id="72"/>
    <w:bookmarkStart w:id="73" w:name="theme-3"/>
    <w:p>
      <w:pPr>
        <w:pStyle w:val="Heading2"/>
      </w:pPr>
      <w:r>
        <w:rPr>
          <w:rStyle w:val="SectionNumber"/>
        </w:rPr>
        <w:t xml:space="preserve">5.3</w:t>
      </w:r>
      <w:r>
        <w:tab/>
      </w:r>
      <w:r>
        <w:t xml:space="preserve">Theme 3</w:t>
      </w:r>
    </w:p>
    <w:bookmarkEnd w:id="73"/>
    <w:bookmarkStart w:id="74" w:name="theme-4"/>
    <w:p>
      <w:pPr>
        <w:pStyle w:val="Heading2"/>
      </w:pPr>
      <w:r>
        <w:rPr>
          <w:rStyle w:val="SectionNumber"/>
        </w:rPr>
        <w:t xml:space="preserve">5.4</w:t>
      </w:r>
      <w:r>
        <w:tab/>
      </w:r>
      <w:r>
        <w:t xml:space="preserve">Theme 4</w:t>
      </w:r>
    </w:p>
    <w:bookmarkEnd w:id="74"/>
    <w:bookmarkStart w:id="75" w:name="theme-5"/>
    <w:p>
      <w:pPr>
        <w:pStyle w:val="Heading2"/>
      </w:pPr>
      <w:r>
        <w:rPr>
          <w:rStyle w:val="SectionNumber"/>
        </w:rPr>
        <w:t xml:space="preserve">5.5</w:t>
      </w:r>
      <w:r>
        <w:tab/>
      </w:r>
      <w:r>
        <w:t xml:space="preserve">Theme 5</w:t>
      </w:r>
    </w:p>
    <w:bookmarkEnd w:id="75"/>
    <w:bookmarkEnd w:id="76"/>
    <w:bookmarkStart w:id="88" w:name="web"/>
    <w:p>
      <w:pPr>
        <w:pStyle w:val="Heading1"/>
      </w:pPr>
      <w:r>
        <w:rPr>
          <w:rStyle w:val="SectionNumber"/>
        </w:rPr>
        <w:t xml:space="preserve">6</w:t>
      </w:r>
      <w:r>
        <w:tab/>
      </w:r>
      <w:r>
        <w:t xml:space="preserve">Web publishing guidance</w:t>
      </w:r>
    </w:p>
    <w:bookmarkStart w:id="78"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7">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8"/>
    <w:bookmarkStart w:id="79"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9"/>
    <w:bookmarkStart w:id="80"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0"/>
    <w:bookmarkStart w:id="82"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1">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2"/>
    <w:bookmarkStart w:id="85"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3">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4">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5"/>
    <w:bookmarkStart w:id="87" w:name="other-useful-things"/>
    <w:p>
      <w:pPr>
        <w:pStyle w:val="Heading2"/>
      </w:pPr>
      <w:r>
        <w:rPr>
          <w:rStyle w:val="SectionNumber"/>
        </w:rPr>
        <w:t xml:space="preserve">6.6</w:t>
      </w:r>
      <w:r>
        <w:tab/>
      </w:r>
      <w:r>
        <w:t xml:space="preserve">Other useful things</w:t>
      </w:r>
    </w:p>
    <w:bookmarkStart w:id="86"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6"/>
    <w:bookmarkEnd w:id="87"/>
    <w:bookmarkEnd w:id="88"/>
    <w:bookmarkStart w:id="92"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9"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9"/>
    <w:bookmarkStart w:id="90"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0"/>
    <w:bookmarkStart w:id="91"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1"/>
    <w:bookmarkEnd w:id="92"/>
    <w:bookmarkStart w:id="93" w:name="appendix"/>
    <w:p>
      <w:pPr>
        <w:pStyle w:val="Heading1"/>
      </w:pPr>
      <w:r>
        <w:t xml:space="preserve">Appendix</w:t>
      </w:r>
    </w:p>
    <w:bookmarkEnd w:id="93"/>
    <w:bookmarkStart w:id="104" w:name="miscellaneous"/>
    <w:p>
      <w:pPr>
        <w:pStyle w:val="Heading1"/>
      </w:pPr>
      <w:r>
        <w:rPr>
          <w:rStyle w:val="SectionNumber"/>
        </w:rPr>
        <w:t xml:space="preserve">8</w:t>
      </w:r>
      <w:r>
        <w:tab/>
      </w:r>
      <w:r>
        <w:t xml:space="preserve">Miscellaneous</w:t>
      </w:r>
    </w:p>
    <w:bookmarkStart w:id="94"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4"/>
    <w:bookmarkStart w:id="96" w:name="osr-feedback-on-ukfsr2021"/>
    <w:p>
      <w:pPr>
        <w:pStyle w:val="Heading2"/>
      </w:pPr>
      <w:r>
        <w:rPr>
          <w:rStyle w:val="SectionNumber"/>
        </w:rPr>
        <w:t xml:space="preserve">8.2</w:t>
      </w:r>
      <w:r>
        <w:tab/>
      </w:r>
      <w:r>
        <w:t xml:space="preserve">OSR feedback on UKFSR2021</w:t>
      </w:r>
    </w:p>
    <w:p>
      <w:pPr>
        <w:pStyle w:val="FirstParagraph"/>
      </w:pPr>
      <w:hyperlink r:id="rId95">
        <w:r>
          <w:rPr>
            <w:rStyle w:val="Hyperlink"/>
          </w:rPr>
          <w:t xml:space="preserve">Here.</w:t>
        </w:r>
      </w:hyperlink>
    </w:p>
    <w:bookmarkEnd w:id="96"/>
    <w:bookmarkStart w:id="103" w:name="general-legal-guidance-from-2024"/>
    <w:p>
      <w:pPr>
        <w:pStyle w:val="Heading2"/>
      </w:pPr>
      <w:r>
        <w:rPr>
          <w:rStyle w:val="SectionNumber"/>
        </w:rPr>
        <w:t xml:space="preserve">8.3</w:t>
      </w:r>
      <w:r>
        <w:tab/>
      </w:r>
      <w:r>
        <w:t xml:space="preserve">General legal guidance from 2024</w:t>
      </w:r>
    </w:p>
    <w:bookmarkStart w:id="98" w:name="legal-basis"/>
    <w:p>
      <w:pPr>
        <w:pStyle w:val="Heading3"/>
      </w:pPr>
      <w:r>
        <w:rPr>
          <w:rStyle w:val="SectionNumber"/>
        </w:rPr>
        <w:t xml:space="preserve">8.3.1</w:t>
      </w:r>
      <w:r>
        <w:tab/>
      </w:r>
      <w:r>
        <w:t xml:space="preserve">Legal basis</w:t>
      </w:r>
    </w:p>
    <w:p>
      <w:pPr>
        <w:pStyle w:val="FirstParagraph"/>
      </w:pPr>
      <w:hyperlink r:id="rId97">
        <w:r>
          <w:rPr>
            <w:rStyle w:val="Hyperlink"/>
          </w:rPr>
          <w:t xml:space="preserve">Agriculture Act 2020</w:t>
        </w:r>
      </w:hyperlink>
    </w:p>
    <w:bookmarkEnd w:id="98"/>
    <w:bookmarkStart w:id="102"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9"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9"/>
    <w:bookmarkStart w:id="100"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0"/>
    <w:bookmarkStart w:id="101"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1"/>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7"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0" Target="https://analysisfunction.civilservice.gov.uk/policy-store/making-analytical-publications-accessible/" TargetMode="External" /><Relationship Type="http://schemas.openxmlformats.org/officeDocument/2006/relationships/hyperlink" Id="rId40" Target="https://assets.publishing.service.gov.uk/government/uploads/system/uploads/attachment_data/file/1056618/AUK2020_22feb22.pdf" TargetMode="External" /><Relationship Type="http://schemas.openxmlformats.org/officeDocument/2006/relationships/hyperlink" Id="rId54"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39"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7" Target="https://www.legislation.gov.uk/ukpga/2020/21/part/2/chapter/1/enacted" TargetMode="External" /><Relationship Type="http://schemas.openxmlformats.org/officeDocument/2006/relationships/hyperlink" Id="rId35" Target="https://www.ons.gov.uk/economy/inflationandpriceindices/bulletins/consumerpriceinflation/previousReleases" TargetMode="External" /><Relationship Type="http://schemas.openxmlformats.org/officeDocument/2006/relationships/hyperlink" Id="rId36" Target="https://www.ons.gov.uk/economy/inflationandpriceindices/bulletins/consumerpriceinflation/september2023" TargetMode="External" /><Relationship Type="http://schemas.openxmlformats.org/officeDocument/2006/relationships/hyperlink" Id="rId41" Target="https://www.sciencedirect.com/journal/health-policy" TargetMode="External" /><Relationship Type="http://schemas.openxmlformats.org/officeDocument/2006/relationships/hyperlink" Id="rId37"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2024-05-21T07:23:29Z</dcterms:created>
  <dcterms:modified xsi:type="dcterms:W3CDTF">2024-05-21T07:23:29Z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21 May 2024, 08:23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