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06</w:t>
      </w:r>
      <w:r>
        <w:t xml:space="preserve"> </w:t>
      </w:r>
      <w:r>
        <w:t xml:space="preserve">February</w:t>
      </w:r>
      <w:r>
        <w:t xml:space="preserve"> </w:t>
      </w:r>
      <w:r>
        <w:t xml:space="preserve">2024,</w:t>
      </w:r>
      <w:r>
        <w:t xml:space="preserve"> </w:t>
      </w:r>
      <w:r>
        <w:t xml:space="preserve">18:52</w:t>
      </w:r>
      <w:r>
        <w:t xml:space="preserve"> </w:t>
      </w:r>
      <w:r>
        <w:t xml:space="preserve">pm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49"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0" w:name="formatting-styles"/>
    <w:p>
      <w:pPr>
        <w:pStyle w:val="Heading2"/>
      </w:pPr>
      <w:r>
        <w:rPr>
          <w:rStyle w:val="SectionNumber"/>
        </w:rPr>
        <w:t xml:space="preserve">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bookmarkEnd w:id="30"/>
    <w:bookmarkStart w:id="31" w:name="spellingword-choice"/>
    <w:p>
      <w:pPr>
        <w:pStyle w:val="Heading2"/>
      </w:pPr>
      <w:r>
        <w:rPr>
          <w:rStyle w:val="SectionNumber"/>
        </w:rPr>
        <w:t xml:space="preserve">2.2</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1"/>
    <w:bookmarkStart w:id="32" w:name="sentence-length"/>
    <w:p>
      <w:pPr>
        <w:pStyle w:val="Heading2"/>
      </w:pPr>
      <w:r>
        <w:rPr>
          <w:rStyle w:val="SectionNumber"/>
        </w:rPr>
        <w:t xml:space="preserve">2.3</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2"/>
    <w:bookmarkStart w:id="36" w:name="urls"/>
    <w:p>
      <w:pPr>
        <w:pStyle w:val="Heading2"/>
      </w:pPr>
      <w:r>
        <w:rPr>
          <w:rStyle w:val="SectionNumber"/>
        </w:rPr>
        <w:t xml:space="preserve">2.4</w:t>
      </w:r>
      <w:r>
        <w:tab/>
      </w:r>
      <w:r>
        <w:t xml:space="preserve">URLs/Links</w:t>
      </w:r>
    </w:p>
    <w:p>
      <w:pPr>
        <w:pStyle w:val="FirstParagraph"/>
      </w:pPr>
      <w:r>
        <w:t xml:space="preserve">See</w:t>
      </w:r>
      <w:r>
        <w:t xml:space="preserve"> </w:t>
      </w:r>
      <w:r>
        <w:t xml:space="preserve">2.5</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3">
        <w:r>
          <w:rPr>
            <w:rStyle w:val="Hyperlink"/>
          </w:rPr>
          <w:t xml:space="preserve">CPI collection page</w:t>
        </w:r>
      </w:hyperlink>
      <w:r>
        <w:t xml:space="preserve"> </w:t>
      </w:r>
      <w:r>
        <w:t xml:space="preserve">which always shows the catalogue of recent publications, and an individual</w:t>
      </w:r>
      <w:r>
        <w:t xml:space="preserve"> </w:t>
      </w:r>
      <w:hyperlink r:id="rId34">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5">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6"/>
    <w:bookmarkStart w:id="40" w:name="refs"/>
    <w:p>
      <w:pPr>
        <w:pStyle w:val="Heading2"/>
      </w:pPr>
      <w:r>
        <w:rPr>
          <w:rStyle w:val="SectionNumber"/>
        </w:rPr>
        <w:t xml:space="preserve">2.5</w:t>
      </w:r>
      <w:r>
        <w:tab/>
      </w:r>
      <w:r>
        <w:t xml:space="preserve">References</w:t>
      </w:r>
    </w:p>
    <w:p>
      <w:pPr>
        <w:pStyle w:val="Bibliography"/>
      </w:pPr>
      <w:r>
        <w:t xml:space="preserve">See</w:t>
      </w:r>
      <w:r>
        <w:t xml:space="preserve"> </w:t>
      </w:r>
      <w:r>
        <w:t xml:space="preserve">2.4</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1" w:name="acronyms-text"/>
    <w:p>
      <w:pPr>
        <w:pStyle w:val="Heading2"/>
      </w:pPr>
      <w:r>
        <w:rPr>
          <w:rStyle w:val="SectionNumber"/>
        </w:rPr>
        <w:t xml:space="preserve">2.6</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6.6.1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1"/>
    <w:bookmarkStart w:id="42" w:name="labelling-data"/>
    <w:p>
      <w:pPr>
        <w:pStyle w:val="Heading2"/>
      </w:pPr>
      <w:r>
        <w:rPr>
          <w:rStyle w:val="SectionNumber"/>
        </w:rPr>
        <w:t xml:space="preserve">2.7</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2"/>
    <w:bookmarkStart w:id="43" w:name="indicator-section-headings"/>
    <w:p>
      <w:pPr>
        <w:pStyle w:val="Heading2"/>
      </w:pPr>
      <w:r>
        <w:rPr>
          <w:rStyle w:val="SectionNumber"/>
        </w:rPr>
        <w:t xml:space="preserve">2.8</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3"/>
    <w:bookmarkStart w:id="44" w:name="the-voice"/>
    <w:p>
      <w:pPr>
        <w:pStyle w:val="Heading2"/>
      </w:pPr>
      <w:r>
        <w:rPr>
          <w:rStyle w:val="SectionNumber"/>
        </w:rPr>
        <w:t xml:space="preserve">2.9</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4"/>
    <w:bookmarkStart w:id="45" w:name="e.g.-i.e.-etc."/>
    <w:p>
      <w:pPr>
        <w:pStyle w:val="Heading2"/>
      </w:pPr>
      <w:r>
        <w:rPr>
          <w:rStyle w:val="SectionNumber"/>
        </w:rPr>
        <w:t xml:space="preserve">2.10</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5"/>
    <w:bookmarkStart w:id="46" w:name="symbols"/>
    <w:p>
      <w:pPr>
        <w:pStyle w:val="Heading2"/>
      </w:pPr>
      <w:r>
        <w:rPr>
          <w:rStyle w:val="SectionNumber"/>
        </w:rPr>
        <w:t xml:space="preserve">2.11</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6"/>
    <w:bookmarkStart w:id="47" w:name="numbers"/>
    <w:p>
      <w:pPr>
        <w:pStyle w:val="Heading2"/>
      </w:pPr>
      <w:r>
        <w:rPr>
          <w:rStyle w:val="SectionNumber"/>
        </w:rPr>
        <w:t xml:space="preserve">2.12</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7"/>
    <w:bookmarkStart w:id="48" w:name="quotation-marks"/>
    <w:p>
      <w:pPr>
        <w:pStyle w:val="Heading2"/>
      </w:pPr>
      <w:r>
        <w:rPr>
          <w:rStyle w:val="SectionNumber"/>
        </w:rPr>
        <w:t xml:space="preserve">2.13</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48"/>
    <w:bookmarkEnd w:id="49"/>
    <w:bookmarkStart w:id="5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0">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3"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1">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2">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3"/>
    <w:bookmarkStart w:id="54" w:name="chart-context"/>
    <w:p>
      <w:pPr>
        <w:pStyle w:val="Heading2"/>
      </w:pPr>
      <w:r>
        <w:rPr>
          <w:rStyle w:val="SectionNumber"/>
        </w:rPr>
        <w:t xml:space="preserve">3.2</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4"/>
    <w:bookmarkStart w:id="55" w:name="resolutionformat"/>
    <w:p>
      <w:pPr>
        <w:pStyle w:val="Heading2"/>
      </w:pPr>
      <w:r>
        <w:rPr>
          <w:rStyle w:val="SectionNumber"/>
        </w:rPr>
        <w:t xml:space="preserve">3.3</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5"/>
    <w:bookmarkStart w:id="56" w:name="helpers"/>
    <w:p>
      <w:pPr>
        <w:pStyle w:val="Heading2"/>
      </w:pPr>
      <w:r>
        <w:rPr>
          <w:rStyle w:val="SectionNumber"/>
        </w:rPr>
        <w:t xml:space="preserve">3.4</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6"/>
    <w:bookmarkEnd w:id="57"/>
    <w:bookmarkStart w:id="64"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58"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8"/>
    <w:bookmarkStart w:id="63"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59"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59"/>
    <w:bookmarkStart w:id="60"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0"/>
    <w:bookmarkStart w:id="61"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1"/>
    <w:bookmarkStart w:id="62"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2"/>
    <w:bookmarkEnd w:id="63"/>
    <w:bookmarkEnd w:id="64"/>
    <w:bookmarkStart w:id="70" w:name="theme-guides"/>
    <w:p>
      <w:pPr>
        <w:pStyle w:val="Heading1"/>
      </w:pPr>
      <w:r>
        <w:rPr>
          <w:rStyle w:val="SectionNumber"/>
        </w:rPr>
        <w:t xml:space="preserve">5</w:t>
      </w:r>
      <w:r>
        <w:tab/>
      </w:r>
      <w:r>
        <w:t xml:space="preserve">Theme guides</w:t>
      </w:r>
    </w:p>
    <w:bookmarkStart w:id="65" w:name="theme-1"/>
    <w:p>
      <w:pPr>
        <w:pStyle w:val="Heading2"/>
      </w:pPr>
      <w:r>
        <w:rPr>
          <w:rStyle w:val="SectionNumber"/>
        </w:rPr>
        <w:t xml:space="preserve">5.1</w:t>
      </w:r>
      <w:r>
        <w:tab/>
      </w:r>
      <w:r>
        <w:t xml:space="preserve">Theme 1</w:t>
      </w:r>
    </w:p>
    <w:bookmarkEnd w:id="65"/>
    <w:bookmarkStart w:id="66" w:name="theme-2"/>
    <w:p>
      <w:pPr>
        <w:pStyle w:val="Heading2"/>
      </w:pPr>
      <w:r>
        <w:rPr>
          <w:rStyle w:val="SectionNumber"/>
        </w:rPr>
        <w:t xml:space="preserve">5.2</w:t>
      </w:r>
      <w:r>
        <w:tab/>
      </w:r>
      <w:r>
        <w:t xml:space="preserve">Theme 2</w:t>
      </w:r>
    </w:p>
    <w:bookmarkEnd w:id="66"/>
    <w:bookmarkStart w:id="67" w:name="theme-3"/>
    <w:p>
      <w:pPr>
        <w:pStyle w:val="Heading2"/>
      </w:pPr>
      <w:r>
        <w:rPr>
          <w:rStyle w:val="SectionNumber"/>
        </w:rPr>
        <w:t xml:space="preserve">5.3</w:t>
      </w:r>
      <w:r>
        <w:tab/>
      </w:r>
      <w:r>
        <w:t xml:space="preserve">Theme 3</w:t>
      </w:r>
    </w:p>
    <w:bookmarkEnd w:id="67"/>
    <w:bookmarkStart w:id="68" w:name="theme-4"/>
    <w:p>
      <w:pPr>
        <w:pStyle w:val="Heading2"/>
      </w:pPr>
      <w:r>
        <w:rPr>
          <w:rStyle w:val="SectionNumber"/>
        </w:rPr>
        <w:t xml:space="preserve">5.4</w:t>
      </w:r>
      <w:r>
        <w:tab/>
      </w:r>
      <w:r>
        <w:t xml:space="preserve">Theme 4</w:t>
      </w:r>
    </w:p>
    <w:bookmarkEnd w:id="68"/>
    <w:bookmarkStart w:id="69" w:name="theme-5"/>
    <w:p>
      <w:pPr>
        <w:pStyle w:val="Heading2"/>
      </w:pPr>
      <w:r>
        <w:rPr>
          <w:rStyle w:val="SectionNumber"/>
        </w:rPr>
        <w:t xml:space="preserve">5.5</w:t>
      </w:r>
      <w:r>
        <w:tab/>
      </w:r>
      <w:r>
        <w:t xml:space="preserve">Theme 5</w:t>
      </w:r>
    </w:p>
    <w:bookmarkEnd w:id="69"/>
    <w:bookmarkEnd w:id="70"/>
    <w:bookmarkStart w:id="81" w:name="web"/>
    <w:p>
      <w:pPr>
        <w:pStyle w:val="Heading1"/>
      </w:pPr>
      <w:r>
        <w:rPr>
          <w:rStyle w:val="SectionNumber"/>
        </w:rPr>
        <w:t xml:space="preserve">6</w:t>
      </w:r>
      <w:r>
        <w:tab/>
      </w:r>
      <w:r>
        <w:t xml:space="preserve">Web publishing guidance</w:t>
      </w:r>
    </w:p>
    <w:bookmarkStart w:id="72"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1">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28"/>
        </w:numPr>
        <w:pStyle w:val="Compact"/>
      </w:pPr>
      <w:r>
        <w:t xml:space="preserve">web team to commandeer additional resource to cover second-eyes etc process during web print conversion</w:t>
      </w:r>
    </w:p>
    <w:bookmarkEnd w:id="72"/>
    <w:bookmarkStart w:id="73"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3"/>
    <w:bookmarkStart w:id="74"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PNG graphics from each Word document and place them in a separately created /images folder as .png files, leaving behind just the graphic title in the text, e.g. #### Figure X.XX. YYYY (now formatted in Markdown by the conversion process).</w:t>
      </w:r>
    </w:p>
    <w:bookmarkEnd w:id="74"/>
    <w:bookmarkStart w:id="76"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75">
        <w:r>
          <w:rPr>
            <w:rStyle w:val="Hyperlink"/>
          </w:rPr>
          <w:t xml:space="preserve">Govspeak converter and preview page</w:t>
        </w:r>
      </w:hyperlink>
      <w:r>
        <w:t xml:space="preserve"> </w:t>
      </w:r>
      <w:r>
        <w:t xml:space="preserve">and viewing the output on the page.</w:t>
      </w:r>
    </w:p>
    <w:p>
      <w:pPr>
        <w:pStyle w:val="BodyText"/>
      </w:pPr>
      <w:r>
        <w:t xml:space="preserve">Graphics handling: after Word document conversion, directly below the graphic title, add a descriptor (within square brackets) which should contain the graphic filename (with the correct nomenclature) with the inclusion now of the</w:t>
      </w:r>
      <w:r>
        <w:t xml:space="preserve"> </w:t>
      </w:r>
      <w:r>
        <w:t xml:space="preserve">‘</w:t>
      </w:r>
      <w:r>
        <w:t xml:space="preserve">.svg</w:t>
      </w:r>
      <w:r>
        <w:t xml:space="preserve">’</w:t>
      </w:r>
      <w:r>
        <w:t xml:space="preserve"> </w:t>
      </w:r>
      <w:r>
        <w:t xml:space="preserve">suffix for replacement of the PNG files with their SVG equivalents, i.e.</w:t>
      </w:r>
    </w:p>
    <w:p>
      <w:pPr>
        <w:pStyle w:val="BodyText"/>
      </w:pPr>
      <w:r>
        <w:t xml:space="preserve">[Image: XX.svg]</w:t>
      </w:r>
    </w:p>
    <w:p>
      <w:pPr>
        <w:pStyle w:val="BodyText"/>
      </w:pPr>
      <w:r>
        <w:t xml:space="preserve">leaving a blank line before and after. The SVG files will have been generated using the relevant R code by each analyst.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t xml:space="preserve">‘</w:t>
      </w:r>
      <w:r>
        <w:t xml:space="preserve">XX.svg</w:t>
      </w:r>
      <w:r>
        <w:t xml:space="preserve">’</w:t>
      </w:r>
      <w:r>
        <w:t xml:space="preserve"> </w:t>
      </w:r>
      <w:r>
        <w:t xml:space="preserve">SVG filenames manually underneath each graphic on the publisher landing page.</w:t>
      </w:r>
    </w:p>
    <w:p>
      <w:pPr>
        <w:pStyle w:val="BodyText"/>
      </w:pPr>
      <w:r>
        <w:t xml:space="preserve">Check each graphic has an appropriate line about accessibility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rPr>
          <w:bCs/>
          <w:b/>
        </w:rPr>
        <w:t xml:space="preserve">Figure XX.X description:</w:t>
      </w:r>
      <w:r>
        <w:t xml:space="preserve"> </w:t>
      </w:r>
      <w:r>
        <w:t xml:space="preserve">‘</w:t>
      </w:r>
      <w:r>
        <w:t xml:space="preserve">Figure XX.X is a line chart that shows the amount of consumer spending in the UK on food and non-alcoholic drink, alcoholic drink (off-licence only) and for catering from 2002 to 2022</w:t>
      </w:r>
      <w:r>
        <w:t xml:space="preserve">’</w:t>
      </w:r>
      <w:r>
        <w:t xml:space="preserve">. In essence this sentence is an expansion (if necessary) of the graphic title itself.</w:t>
      </w:r>
    </w:p>
    <w:p>
      <w:pPr>
        <w:pStyle w:val="BodyText"/>
      </w:pPr>
      <w:r>
        <w:t xml:space="preserve">CSV files: the current standard GOV.UK nomenclature for viewing/downloadng associated data CSV files is, for the data preview, e.g. </w:t>
      </w:r>
    </w:p>
    <w:p>
      <w:pPr>
        <w:pStyle w:val="SourceCode"/>
      </w:pPr>
      <w:r>
        <w:rPr>
          <w:rStyle w:val="VerbatimChar"/>
        </w:rPr>
        <w:t xml:space="preserve">https://assets.publishing.service.gov.uk/media/64beb60bd4051a00145a9201/foodchainanalysis-productivity-dataset_27jul2023i.csv/preview</w:t>
      </w:r>
    </w:p>
    <w:p>
      <w:pPr>
        <w:pStyle w:val="FirstParagraph"/>
      </w:pPr>
      <w:r>
        <w:t xml:space="preserve">and for the data download, e.g.</w:t>
      </w:r>
    </w:p>
    <w:p>
      <w:pPr>
        <w:pStyle w:val="SourceCode"/>
      </w:pPr>
      <w:r>
        <w:rPr>
          <w:rStyle w:val="VerbatimChar"/>
        </w:rPr>
        <w:t xml:space="preserve">https://www.gov.uk/government/uploads/system/uploads/attachment_data/file/1173363/foodchainanalysis-productivity-dataset_27jul2023i.csv</w:t>
      </w:r>
    </w:p>
    <w:p>
      <w:pPr>
        <w:pStyle w:val="FirstParagraph"/>
      </w:pPr>
      <w:r>
        <w:t xml:space="preserve">it will be good practice to have placeholders for these two urls placed directly underneath the accessibility text, as the onduty publisher will have to insert the unique</w:t>
      </w:r>
      <w:r>
        <w:t xml:space="preserve"> </w:t>
      </w:r>
      <w:r>
        <w:t xml:space="preserve">‘</w:t>
      </w:r>
      <w:r>
        <w:t xml:space="preserve">nodes</w:t>
      </w:r>
      <w:r>
        <w:t xml:space="preserve">’</w:t>
      </w:r>
      <w:r>
        <w:t xml:space="preserve"> </w:t>
      </w:r>
      <w:r>
        <w:t xml:space="preserve">for each graphic in the last step before submitting the report for 2i approval. Suggested format for this:</w:t>
      </w:r>
    </w:p>
    <w:p>
      <w:pPr>
        <w:pStyle w:val="SourceCode"/>
      </w:pPr>
      <w:r>
        <w:rPr>
          <w:rStyle w:val="VerbatimChar"/>
        </w:rPr>
        <w:t xml:space="preserve">[View the data for this chart](https://assets.publishing.service.gov.uk/media/NODE/XXX_PUBLICATION DATA.csv/preview)  </w:t>
      </w:r>
      <w:r>
        <w:br/>
      </w:r>
      <w:r>
        <w:br/>
      </w:r>
      <w:r>
        <w:rPr>
          <w:rStyle w:val="VerbatimChar"/>
        </w:rPr>
        <w:t xml:space="preserve">[Download the data for this chart](https://assets.publishing.service.gov.uk/media/NODE/XXX_PUBLICATION DATA.csv)</w:t>
      </w:r>
    </w:p>
    <w:bookmarkEnd w:id="76"/>
    <w:bookmarkStart w:id="78" w:name="formatting"/>
    <w:p>
      <w:pPr>
        <w:pStyle w:val="Heading2"/>
      </w:pPr>
      <w:r>
        <w:rPr>
          <w:rStyle w:val="SectionNumber"/>
        </w:rPr>
        <w:t xml:space="preserve">6.5</w:t>
      </w:r>
      <w:r>
        <w:tab/>
      </w:r>
      <w:r>
        <w:t xml:space="preserve">Formatting</w:t>
      </w:r>
    </w:p>
    <w:p>
      <w:pPr>
        <w:numPr>
          <w:ilvl w:val="0"/>
          <w:numId w:val="1029"/>
        </w:numPr>
      </w:pPr>
      <w:r>
        <w:t xml:space="preserve">To add external links to GOV.UK pages, use square brackets [] around the link text and round brackets () around the link URL, i.e. </w:t>
      </w:r>
      <w:r>
        <w:rPr>
          <w:rStyle w:val="VerbatimChar"/>
        </w:rPr>
        <w:t xml:space="preserve">[LINK TEXT](url)</w:t>
      </w:r>
      <w:r>
        <w:t xml:space="preserve">. Make sure there are no spaces between the brackets or the link will not work. When linking to any Whitehall content, use the Whitehall publisher link and not the website URL. The first part of the URL</w:t>
      </w:r>
      <w:r>
        <w:t xml:space="preserve"> </w:t>
      </w:r>
      <w:r>
        <w:rPr>
          <w:rStyle w:val="VerbatimChar"/>
        </w:rPr>
        <w:t xml:space="preserve">https://whitehall-admin.publishing.service.gov.uk/</w:t>
      </w:r>
      <w:r>
        <w:t xml:space="preserve"> </w:t>
      </w:r>
      <w:r>
        <w:t xml:space="preserve">should be used along with the relative path, for example: /government/admin/publications/123456 (i.e. use relative links).</w:t>
      </w:r>
    </w:p>
    <w:p>
      <w:pPr>
        <w:numPr>
          <w:ilvl w:val="0"/>
          <w:numId w:val="1029"/>
        </w:numPr>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r>
        <w:t xml:space="preserve"> </w:t>
      </w:r>
      <w:r>
        <w:rPr>
          <w:rStyle w:val="VerbatimChar"/>
        </w:rPr>
        <w:t xml:space="preserve">https://www.gov.uk/......#STUBNAME</w:t>
      </w:r>
      <w:r>
        <w:t xml:space="preserve">). 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w:t>
      </w:r>
      <w:r>
        <w:t xml:space="preserve"> </w:t>
      </w:r>
      <w:r>
        <w:rPr>
          <w:bCs/>
          <w:b/>
        </w:rPr>
        <w:t xml:space="preserve">EXAMPLE:</w:t>
      </w:r>
      <w:r>
        <w:t xml:space="preserve"> </w:t>
      </w:r>
      <w:r>
        <w:t xml:space="preserve">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section in the webpage, which is also indicated on the left hand side section menu window pane of the GOV.UK webpage.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77">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rPr>
          <w:rStyle w:val="VerbatimChar"/>
        </w:rPr>
        <w:t xml:space="preserve">'In 2021, the value of **[Gross Value Added](#tfp-glossary)**</w:t>
      </w:r>
      <w:r>
        <w:t xml:space="preserve">’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https://www.gov.uk/government/statistics/united-kingdom-food-security-report-2021/united-kingdom-food-security-report-2021-theme-2-uk-food-supply-sources</w:t>
      </w:r>
    </w:p>
    <w:p>
      <w:pPr>
        <w:pStyle w:val="FirstParagraph"/>
      </w:pPr>
      <w:r>
        <w:t xml:space="preserve"> </w:t>
      </w:r>
      <w:r>
        <w:t xml:space="preserve">switch to the Table of Contents</w:t>
      </w:r>
    </w:p>
    <w:p>
      <w:pPr>
        <w:pStyle w:val="SourceCode"/>
      </w:pPr>
      <w:r>
        <w:rPr>
          <w:rStyle w:val="VerbatimChar"/>
        </w:rPr>
        <w:t xml:space="preserve">https://www.gov.uk/government/statistics/united-kingdom-food-security-report-2021/united-kingdom-food-security-report-2021-contents</w:t>
      </w:r>
    </w:p>
    <w:p>
      <w:pPr>
        <w:pStyle w:val="FirstParagraph"/>
      </w:pPr>
      <w:r>
        <w:t xml:space="preserve"> </w:t>
      </w:r>
      <w:r>
        <w:t xml:space="preserve">switch to the Appendix</w:t>
      </w:r>
    </w:p>
    <w:p>
      <w:pPr>
        <w:pStyle w:val="SourceCode"/>
      </w:pPr>
      <w:r>
        <w:rPr>
          <w:rStyle w:val="VerbatimChar"/>
        </w:rPr>
        <w:t xml:space="preserve">https://www.gov.uk/government/statistics/united-kingdom-food-security-report-2021/united-kingdom-food-security-report-2021-appendix</w:t>
      </w:r>
    </w:p>
    <w:p>
      <w:pPr>
        <w:pStyle w:val="FirstParagraph"/>
      </w:pPr>
      <w:r>
        <w:t xml:space="preserve"> </w:t>
      </w:r>
      <w:r>
        <w:t xml:space="preserve">switch to the landing page</w:t>
      </w:r>
    </w:p>
    <w:p>
      <w:pPr>
        <w:pStyle w:val="SourceCode"/>
      </w:pPr>
      <w:r>
        <w:rPr>
          <w:rStyle w:val="VerbatimChar"/>
        </w:rPr>
        <w:t xml:space="preserve">https://www.gov.uk/government/statistics/united-kingdom-food-security-report-2021</w:t>
      </w:r>
    </w:p>
    <w:p>
      <w:pPr>
        <w:pStyle w:val="FirstParagraph"/>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0"/>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78"/>
    <w:bookmarkStart w:id="80" w:name="other-useful-things"/>
    <w:p>
      <w:pPr>
        <w:pStyle w:val="Heading2"/>
      </w:pPr>
      <w:r>
        <w:rPr>
          <w:rStyle w:val="SectionNumber"/>
        </w:rPr>
        <w:t xml:space="preserve">6.6</w:t>
      </w:r>
      <w:r>
        <w:tab/>
      </w:r>
      <w:r>
        <w:t xml:space="preserve">Other useful things</w:t>
      </w:r>
    </w:p>
    <w:bookmarkStart w:id="79"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2.6</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79"/>
    <w:bookmarkEnd w:id="80"/>
    <w:bookmarkEnd w:id="81"/>
    <w:bookmarkStart w:id="85"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2"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1"/>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1"/>
        </w:numPr>
        <w:pStyle w:val="Compact"/>
      </w:pPr>
      <w:r>
        <w:t xml:space="preserve">copy the final section docs into a new folder: this folder is the master print content</w:t>
      </w:r>
    </w:p>
    <w:p>
      <w:pPr>
        <w:numPr>
          <w:ilvl w:val="0"/>
          <w:numId w:val="1031"/>
        </w:numPr>
        <w:pStyle w:val="Compact"/>
      </w:pPr>
      <w:r>
        <w:t xml:space="preserve">get a copy of the Defra doc template which has a default front and back cover</w:t>
      </w:r>
    </w:p>
    <w:p>
      <w:pPr>
        <w:numPr>
          <w:ilvl w:val="0"/>
          <w:numId w:val="1031"/>
        </w:numPr>
        <w:pStyle w:val="Compact"/>
      </w:pPr>
      <w:r>
        <w:t xml:space="preserve">check and secure an ISBN/Defra document number</w:t>
      </w:r>
    </w:p>
    <w:p>
      <w:pPr>
        <w:numPr>
          <w:ilvl w:val="0"/>
          <w:numId w:val="1031"/>
        </w:numPr>
        <w:pStyle w:val="Compact"/>
      </w:pPr>
      <w:r>
        <w:t xml:space="preserve">check any standard copyright notice text</w:t>
      </w:r>
    </w:p>
    <w:p>
      <w:pPr>
        <w:numPr>
          <w:ilvl w:val="0"/>
          <w:numId w:val="1031"/>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2"/>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2"/>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2"/>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2"/>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2"/>
    <w:bookmarkStart w:id="83"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3"/>
    <w:bookmarkStart w:id="84"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84"/>
    <w:bookmarkEnd w:id="85"/>
    <w:bookmarkStart w:id="86" w:name="appendix"/>
    <w:p>
      <w:pPr>
        <w:pStyle w:val="Heading1"/>
      </w:pPr>
      <w:r>
        <w:t xml:space="preserve">Appendix</w:t>
      </w:r>
    </w:p>
    <w:bookmarkEnd w:id="86"/>
    <w:bookmarkStart w:id="97" w:name="miscellaneous"/>
    <w:p>
      <w:pPr>
        <w:pStyle w:val="Heading1"/>
      </w:pPr>
      <w:r>
        <w:rPr>
          <w:rStyle w:val="SectionNumber"/>
        </w:rPr>
        <w:t xml:space="preserve">8</w:t>
      </w:r>
      <w:r>
        <w:tab/>
      </w:r>
      <w:r>
        <w:t xml:space="preserve">Miscellaneous</w:t>
      </w:r>
    </w:p>
    <w:bookmarkStart w:id="87"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87"/>
    <w:bookmarkStart w:id="89" w:name="osr-feedback-on-ukfsr2021"/>
    <w:p>
      <w:pPr>
        <w:pStyle w:val="Heading2"/>
      </w:pPr>
      <w:r>
        <w:rPr>
          <w:rStyle w:val="SectionNumber"/>
        </w:rPr>
        <w:t xml:space="preserve">8.2</w:t>
      </w:r>
      <w:r>
        <w:tab/>
      </w:r>
      <w:r>
        <w:t xml:space="preserve">OSR feedback on UKFSR2021</w:t>
      </w:r>
    </w:p>
    <w:p>
      <w:pPr>
        <w:pStyle w:val="FirstParagraph"/>
      </w:pPr>
      <w:hyperlink r:id="rId88">
        <w:r>
          <w:rPr>
            <w:rStyle w:val="Hyperlink"/>
          </w:rPr>
          <w:t xml:space="preserve">Here.</w:t>
        </w:r>
      </w:hyperlink>
    </w:p>
    <w:bookmarkEnd w:id="89"/>
    <w:bookmarkStart w:id="96" w:name="general-legal-guidance-from-2024"/>
    <w:p>
      <w:pPr>
        <w:pStyle w:val="Heading2"/>
      </w:pPr>
      <w:r>
        <w:rPr>
          <w:rStyle w:val="SectionNumber"/>
        </w:rPr>
        <w:t xml:space="preserve">8.3</w:t>
      </w:r>
      <w:r>
        <w:tab/>
      </w:r>
      <w:r>
        <w:t xml:space="preserve">General legal guidance from 2024</w:t>
      </w:r>
    </w:p>
    <w:bookmarkStart w:id="91" w:name="legal-basis"/>
    <w:p>
      <w:pPr>
        <w:pStyle w:val="Heading3"/>
      </w:pPr>
      <w:r>
        <w:rPr>
          <w:rStyle w:val="SectionNumber"/>
        </w:rPr>
        <w:t xml:space="preserve">8.3.1</w:t>
      </w:r>
      <w:r>
        <w:tab/>
      </w:r>
      <w:r>
        <w:t xml:space="preserve">Legal basis</w:t>
      </w:r>
    </w:p>
    <w:p>
      <w:pPr>
        <w:pStyle w:val="FirstParagraph"/>
      </w:pPr>
      <w:hyperlink r:id="rId90">
        <w:r>
          <w:rPr>
            <w:rStyle w:val="Hyperlink"/>
          </w:rPr>
          <w:t xml:space="preserve">Agriculture Act 2020</w:t>
        </w:r>
      </w:hyperlink>
    </w:p>
    <w:bookmarkEnd w:id="91"/>
    <w:bookmarkStart w:id="95"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2"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2"/>
    <w:bookmarkStart w:id="93"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3"/>
        </w:numPr>
        <w:pStyle w:val="Compact"/>
      </w:pPr>
      <w:r>
        <w:t xml:space="preserve">integration principle</w:t>
      </w:r>
    </w:p>
    <w:p>
      <w:pPr>
        <w:numPr>
          <w:ilvl w:val="0"/>
          <w:numId w:val="1033"/>
        </w:numPr>
        <w:pStyle w:val="Compact"/>
      </w:pPr>
      <w:r>
        <w:t xml:space="preserve">prevention principle</w:t>
      </w:r>
    </w:p>
    <w:p>
      <w:pPr>
        <w:numPr>
          <w:ilvl w:val="0"/>
          <w:numId w:val="1033"/>
        </w:numPr>
        <w:pStyle w:val="Compact"/>
      </w:pPr>
      <w:r>
        <w:t xml:space="preserve">rectification at source principle</w:t>
      </w:r>
    </w:p>
    <w:p>
      <w:pPr>
        <w:numPr>
          <w:ilvl w:val="0"/>
          <w:numId w:val="1033"/>
        </w:numPr>
        <w:pStyle w:val="Compact"/>
      </w:pPr>
      <w:r>
        <w:t xml:space="preserve">polluter pays principle</w:t>
      </w:r>
    </w:p>
    <w:p>
      <w:pPr>
        <w:numPr>
          <w:ilvl w:val="0"/>
          <w:numId w:val="1033"/>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3"/>
    <w:bookmarkStart w:id="94"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5" Target="https://govspeak-preview.publishing.service.gov.uk/" TargetMode="External" /><Relationship Type="http://schemas.openxmlformats.org/officeDocument/2006/relationships/hyperlink" Id="rId71" Target="https://govspeak-preview.publishing.service.gov.uk/guide" TargetMode="External" /><Relationship Type="http://schemas.openxmlformats.org/officeDocument/2006/relationships/hyperlink" Id="rId88"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77"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0"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5" Target="https://govspeak-preview.publishing.service.gov.uk/" TargetMode="External" /><Relationship Type="http://schemas.openxmlformats.org/officeDocument/2006/relationships/hyperlink" Id="rId71" Target="https://govspeak-preview.publishing.service.gov.uk/guide" TargetMode="External" /><Relationship Type="http://schemas.openxmlformats.org/officeDocument/2006/relationships/hyperlink" Id="rId88"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77"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0"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2024-02-06T18:52:04Z</dcterms:created>
  <dcterms:modified xsi:type="dcterms:W3CDTF">2024-02-06T18:52:04Z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06 February 2024, 18:52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