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07</w:t>
      </w:r>
      <w:r>
        <w:t xml:space="preserve"> </w:t>
      </w:r>
      <w:r>
        <w:t xml:space="preserve">February</w:t>
      </w:r>
      <w:r>
        <w:t xml:space="preserve"> </w:t>
      </w:r>
      <w:r>
        <w:t xml:space="preserve">2024,</w:t>
      </w:r>
      <w:r>
        <w:t xml:space="preserve"> </w:t>
      </w:r>
      <w:r>
        <w:t xml:space="preserve">08:56</w:t>
      </w:r>
      <w:r>
        <w:t xml:space="preserve"> </w:t>
      </w:r>
      <w:r>
        <w:t xml:space="preserve">am</w:t>
      </w:r>
    </w:p>
    <w:bookmarkStart w:id="28"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timings-resources-and-pinch-points"/>
    <w:p>
      <w:pPr>
        <w:pStyle w:val="Heading2"/>
      </w:pPr>
      <w:r>
        <w:rPr>
          <w:rStyle w:val="SectionNumber"/>
        </w:rPr>
        <w:t xml:space="preserve">1.3</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7"/>
    <w:bookmarkEnd w:id="28"/>
    <w:bookmarkStart w:id="49"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 There is a GDS style guide</w:t>
      </w:r>
      <w:r>
        <w:t xml:space="preserve"> </w:t>
      </w:r>
      <w:r>
        <w:t xml:space="preserve">for all content published on gov.uk is available</w:t>
      </w:r>
      <w:r>
        <w:t xml:space="preserve"> </w:t>
      </w:r>
      <w:hyperlink r:id="rId29">
        <w:r>
          <w:rPr>
            <w:rStyle w:val="Hyperlink"/>
          </w:rPr>
          <w:t xml:space="preserve">here</w:t>
        </w:r>
      </w:hyperlink>
      <w:r>
        <w:t xml:space="preserve">. The UKFSR guide is intended to</w:t>
      </w:r>
      <w:r>
        <w:t xml:space="preserve"> </w:t>
      </w:r>
      <w:r>
        <w:t xml:space="preserve">complement this.</w:t>
      </w:r>
    </w:p>
    <w:bookmarkStart w:id="30" w:name="formatting-styles"/>
    <w:p>
      <w:pPr>
        <w:pStyle w:val="Heading2"/>
      </w:pPr>
      <w:r>
        <w:rPr>
          <w:rStyle w:val="SectionNumber"/>
        </w:rPr>
        <w:t xml:space="preserve">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 critical to the structure of the web publications (see</w:t>
      </w:r>
      <w:r>
        <w:t xml:space="preserve"> </w:t>
      </w:r>
      <w:r>
        <w:t xml:space="preserve">6</w:t>
      </w:r>
      <w:r>
        <w:t xml:space="preserve">), and building the table of contents in the print version (see</w:t>
      </w:r>
      <w:r>
        <w:t xml:space="preserve"> </w:t>
      </w:r>
      <w:r>
        <w:t xml:space="preserve">7</w:t>
      </w:r>
      <w:r>
        <w:t xml:space="preserve">). If you dont use styles during drafting, its massive horrible job to retrofit them at the end 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italic, bulleted list etc. The Defra publication template and web publishing process will deal with the look of the finished product.</w:t>
      </w:r>
    </w:p>
    <w:bookmarkEnd w:id="30"/>
    <w:bookmarkStart w:id="31" w:name="spellingword-choice"/>
    <w:p>
      <w:pPr>
        <w:pStyle w:val="Heading2"/>
      </w:pPr>
      <w:r>
        <w:rPr>
          <w:rStyle w:val="SectionNumber"/>
        </w:rPr>
        <w:t xml:space="preserve">2.2</w:t>
      </w:r>
      <w:r>
        <w:tab/>
      </w:r>
      <w:r>
        <w:t xml:space="preserve">Spelling/Word choice</w:t>
      </w:r>
    </w:p>
    <w:p>
      <w:pPr>
        <w:numPr>
          <w:ilvl w:val="0"/>
          <w:numId w:val="1004"/>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4"/>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4"/>
        </w:numPr>
      </w:pPr>
      <w:r>
        <w:t xml:space="preserve">government, UK government (not capitalised unless it’s Welsh or Scottish Government)</w:t>
      </w:r>
    </w:p>
    <w:p>
      <w:pPr>
        <w:numPr>
          <w:ilvl w:val="0"/>
          <w:numId w:val="1004"/>
        </w:numPr>
      </w:pPr>
      <w:r>
        <w:t xml:space="preserve">other government departments</w:t>
      </w:r>
    </w:p>
    <w:p>
      <w:pPr>
        <w:numPr>
          <w:ilvl w:val="0"/>
          <w:numId w:val="1004"/>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4"/>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4"/>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4"/>
        </w:numPr>
      </w:pPr>
      <w:r>
        <w:t xml:space="preserve">Disabled people and not people with disabilities</w:t>
      </w:r>
    </w:p>
    <w:p>
      <w:pPr>
        <w:numPr>
          <w:ilvl w:val="0"/>
          <w:numId w:val="1004"/>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4"/>
        </w:numPr>
      </w:pPr>
      <w:r>
        <w:t xml:space="preserve">Talking about Brexit:</w:t>
      </w:r>
    </w:p>
    <w:p>
      <w:pPr>
        <w:numPr>
          <w:ilvl w:val="1"/>
          <w:numId w:val="1005"/>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6"/>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6"/>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6"/>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4"/>
        </w:numPr>
      </w:pPr>
      <w:r>
        <w:t xml:space="preserve">Dates: do not use a comma between the month and year: 4 June 2017</w:t>
      </w:r>
    </w:p>
    <w:p>
      <w:pPr>
        <w:numPr>
          <w:ilvl w:val="0"/>
          <w:numId w:val="1004"/>
        </w:numPr>
      </w:pPr>
      <w:r>
        <w:t xml:space="preserve">white paper (lower case)</w:t>
      </w:r>
    </w:p>
    <w:p>
      <w:pPr>
        <w:numPr>
          <w:ilvl w:val="0"/>
          <w:numId w:val="1004"/>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4"/>
        </w:numPr>
      </w:pPr>
      <w:r>
        <w:t xml:space="preserve">Words to avoid:</w:t>
      </w:r>
    </w:p>
    <w:p>
      <w:pPr>
        <w:numPr>
          <w:ilvl w:val="1"/>
          <w:numId w:val="1007"/>
        </w:numPr>
        <w:pStyle w:val="Compact"/>
      </w:pPr>
      <w:r>
        <w:t xml:space="preserve">Robust</w:t>
      </w:r>
    </w:p>
    <w:p>
      <w:pPr>
        <w:numPr>
          <w:ilvl w:val="1"/>
          <w:numId w:val="1007"/>
        </w:numPr>
        <w:pStyle w:val="Compact"/>
      </w:pPr>
      <w:r>
        <w:t xml:space="preserve">Overarching</w:t>
      </w:r>
    </w:p>
    <w:p>
      <w:pPr>
        <w:numPr>
          <w:ilvl w:val="1"/>
          <w:numId w:val="1007"/>
        </w:numPr>
        <w:pStyle w:val="Compact"/>
      </w:pPr>
      <w:r>
        <w:t xml:space="preserve">Strengthen (unless we are actually strengthening an architectural structure)</w:t>
      </w:r>
    </w:p>
    <w:p>
      <w:pPr>
        <w:numPr>
          <w:ilvl w:val="1"/>
          <w:numId w:val="1007"/>
        </w:numPr>
        <w:pStyle w:val="Compact"/>
      </w:pPr>
      <w:r>
        <w:t xml:space="preserve">Tackling</w:t>
      </w:r>
      <w:r>
        <w:br/>
      </w:r>
    </w:p>
    <w:p>
      <w:pPr>
        <w:numPr>
          <w:ilvl w:val="1"/>
          <w:numId w:val="1007"/>
        </w:numPr>
        <w:pStyle w:val="Compact"/>
      </w:pPr>
      <w:r>
        <w:t xml:space="preserve">Going forward</w:t>
      </w:r>
    </w:p>
    <w:p>
      <w:pPr>
        <w:numPr>
          <w:ilvl w:val="1"/>
          <w:numId w:val="1007"/>
        </w:numPr>
        <w:pStyle w:val="Compact"/>
      </w:pPr>
      <w:r>
        <w:t xml:space="preserve">In order to (superfluous, never use it)</w:t>
      </w:r>
    </w:p>
    <w:p>
      <w:pPr>
        <w:numPr>
          <w:ilvl w:val="1"/>
          <w:numId w:val="1007"/>
        </w:numPr>
        <w:pStyle w:val="Compact"/>
      </w:pPr>
      <w:r>
        <w:t xml:space="preserve">impact (do not use this as a synonym for have an effect on, or influence)</w:t>
      </w:r>
    </w:p>
    <w:p>
      <w:pPr>
        <w:numPr>
          <w:ilvl w:val="1"/>
          <w:numId w:val="1007"/>
        </w:numPr>
        <w:pStyle w:val="Compact"/>
      </w:pPr>
      <w:r>
        <w:t xml:space="preserve">facilitate (instead, say something specific about how you’re helping)</w:t>
      </w:r>
    </w:p>
    <w:p>
      <w:pPr>
        <w:numPr>
          <w:ilvl w:val="1"/>
          <w:numId w:val="1007"/>
        </w:numPr>
        <w:pStyle w:val="Compact"/>
      </w:pPr>
      <w:r>
        <w:t xml:space="preserve">focusing</w:t>
      </w:r>
    </w:p>
    <w:p>
      <w:pPr>
        <w:numPr>
          <w:ilvl w:val="1"/>
          <w:numId w:val="1007"/>
        </w:numPr>
        <w:pStyle w:val="Compact"/>
      </w:pPr>
      <w:r>
        <w:t xml:space="preserve">key (unless it unlocks something. A subject/thing is not key - it’s probably important)</w:t>
      </w:r>
    </w:p>
    <w:bookmarkEnd w:id="31"/>
    <w:bookmarkStart w:id="32" w:name="sentence-length"/>
    <w:p>
      <w:pPr>
        <w:pStyle w:val="Heading2"/>
      </w:pPr>
      <w:r>
        <w:rPr>
          <w:rStyle w:val="SectionNumber"/>
        </w:rPr>
        <w:t xml:space="preserve">2.3</w:t>
      </w:r>
      <w:r>
        <w:tab/>
      </w:r>
      <w:r>
        <w:t xml:space="preserve">Sentence length</w:t>
      </w:r>
    </w:p>
    <w:p>
      <w:pPr>
        <w:numPr>
          <w:ilvl w:val="0"/>
          <w:numId w:val="1008"/>
        </w:numPr>
        <w:pStyle w:val="Compact"/>
      </w:pPr>
      <w:r>
        <w:t xml:space="preserve">Do not use long sentences. Check sentences with more than 25 words to see if you can split them to make them clearer.</w:t>
      </w:r>
    </w:p>
    <w:bookmarkEnd w:id="32"/>
    <w:bookmarkStart w:id="36" w:name="urls"/>
    <w:p>
      <w:pPr>
        <w:pStyle w:val="Heading2"/>
      </w:pPr>
      <w:r>
        <w:rPr>
          <w:rStyle w:val="SectionNumber"/>
        </w:rPr>
        <w:t xml:space="preserve">2.4</w:t>
      </w:r>
      <w:r>
        <w:tab/>
      </w:r>
      <w:r>
        <w:t xml:space="preserve">URLs/Links</w:t>
      </w:r>
    </w:p>
    <w:p>
      <w:pPr>
        <w:pStyle w:val="FirstParagraph"/>
      </w:pPr>
      <w:r>
        <w:t xml:space="preserve">See</w:t>
      </w:r>
      <w:r>
        <w:t xml:space="preserve"> </w:t>
      </w:r>
      <w:r>
        <w:t xml:space="preserve">2.5</w:t>
      </w:r>
      <w:r>
        <w:t xml:space="preserve"> </w:t>
      </w:r>
      <w:r>
        <w:t xml:space="preserve">for references to academic reports.</w:t>
      </w:r>
      <w:r>
        <w:t xml:space="preserve"> </w:t>
      </w:r>
      <w:r>
        <w:rPr>
          <w:iCs/>
          <w:i/>
        </w:rPr>
        <w:t xml:space="preserve">Link to sources, data and</w:t>
      </w:r>
      <w:r>
        <w:rPr>
          <w:iCs/>
          <w:i/>
        </w:rPr>
        <w:t xml:space="preserve"> </w:t>
      </w:r>
      <w:r>
        <w:rPr>
          <w:iCs/>
          <w:i/>
        </w:rPr>
        <w:t xml:space="preserve">relevant online material liberally</w:t>
      </w:r>
      <w:r>
        <w:t xml:space="preserve">, and when in doubt, link! Remember that this</w:t>
      </w:r>
      <w:r>
        <w:t xml:space="preserve"> </w:t>
      </w:r>
      <w:r>
        <w:t xml:space="preserve">is not necessarily relevant to the print edition but fundamental to the online</w:t>
      </w:r>
      <w:r>
        <w:t xml:space="preserve"> </w:t>
      </w:r>
      <w:r>
        <w:t xml:space="preserve">version. Todays readers expect to be able to click through to verify or explore</w:t>
      </w:r>
      <w:r>
        <w:t xml:space="preserve"> </w:t>
      </w:r>
      <w:r>
        <w:t xml:space="preserve">further the data and other sources we refer to. It is fundamental to the</w:t>
      </w:r>
      <w:r>
        <w:t xml:space="preserve"> </w:t>
      </w:r>
      <w:r>
        <w:t xml:space="preserve">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w:t>
      </w:r>
      <w:r>
        <w:t xml:space="preserve"> </w:t>
      </w:r>
      <w:r>
        <w:t xml:space="preserve">sensibly</w:t>
      </w:r>
      <w:r>
        <w:t xml:space="preserve">’</w:t>
      </w:r>
      <w:r>
        <w:t xml:space="preserve">. This simply means point to the place where a user might generally</w:t>
      </w:r>
      <w:r>
        <w:t xml:space="preserve"> </w:t>
      </w:r>
      <w:r>
        <w:t xml:space="preserve">expect to go when they click. This might be a specific document/report, a</w:t>
      </w:r>
      <w:r>
        <w:t xml:space="preserve"> </w:t>
      </w:r>
      <w:r>
        <w:t xml:space="preserve">summary page containing relevant content, or even the home page for an</w:t>
      </w:r>
      <w:r>
        <w:t xml:space="preserve"> </w:t>
      </w:r>
      <w:r>
        <w:t xml:space="preserve">organisation. Use your judgement and put yourself in the position of an end</w:t>
      </w:r>
      <w:r>
        <w:t xml:space="preserve"> </w:t>
      </w:r>
      <w:r>
        <w:t xml:space="preserve">user. Some examples:</w:t>
      </w:r>
    </w:p>
    <w:p>
      <w:pPr>
        <w:numPr>
          <w:ilvl w:val="0"/>
          <w:numId w:val="1009"/>
        </w:numPr>
      </w:pPr>
      <w:r>
        <w:rPr>
          <w:bCs/>
          <w:b/>
        </w:rPr>
        <w:t xml:space="preserve">Data links:</w:t>
      </w:r>
      <w:r>
        <w:t xml:space="preserve"> </w:t>
      </w:r>
      <w:r>
        <w:t xml:space="preserve">Every chart must have a csv preview link. See Section</w:t>
      </w:r>
      <w:r>
        <w:t xml:space="preserve"> </w:t>
      </w:r>
      <w:r>
        <w:t xml:space="preserve">4</w:t>
      </w:r>
      <w:r>
        <w:t xml:space="preserve"> </w:t>
      </w:r>
      <w:r>
        <w:t xml:space="preserve">for</w:t>
      </w:r>
      <w:r>
        <w:t xml:space="preserve"> </w:t>
      </w:r>
      <w:r>
        <w:t xml:space="preserve">guidance on that. In addition all sources must be linked to. Curious users might</w:t>
      </w:r>
      <w:r>
        <w:t xml:space="preserve"> </w:t>
      </w:r>
      <w:r>
        <w:t xml:space="preserve">want to explore the raw data sources beyond our curated csvs if they are happy</w:t>
      </w:r>
      <w:r>
        <w:t xml:space="preserve"> </w:t>
      </w:r>
      <w:r>
        <w:t xml:space="preserve">to do so. Either way they should have a link to the owner/producers of the data</w:t>
      </w:r>
      <w:r>
        <w:t xml:space="preserve"> </w:t>
      </w:r>
      <w:r>
        <w:t xml:space="preserve">so we need to add links to unedited sources. Which leads on to…</w:t>
      </w:r>
    </w:p>
    <w:p>
      <w:pPr>
        <w:numPr>
          <w:ilvl w:val="0"/>
          <w:numId w:val="1009"/>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33">
        <w:r>
          <w:rPr>
            <w:rStyle w:val="Hyperlink"/>
          </w:rPr>
          <w:t xml:space="preserve">CPI collection page</w:t>
        </w:r>
      </w:hyperlink>
      <w:r>
        <w:t xml:space="preserve"> </w:t>
      </w:r>
      <w:r>
        <w:t xml:space="preserve">which always shows the catalogue of recent publications, and an individual</w:t>
      </w:r>
      <w:r>
        <w:t xml:space="preserve"> </w:t>
      </w:r>
      <w:hyperlink r:id="rId34">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09"/>
        </w:numPr>
      </w:pPr>
      <w:r>
        <w:rPr>
          <w:bCs/>
          <w:b/>
        </w:rPr>
        <w:t xml:space="preserve">General links:</w:t>
      </w:r>
      <w:r>
        <w:t xml:space="preserve"> </w:t>
      </w:r>
      <w:r>
        <w:t xml:space="preserve">If there is no logical place to go, link to the organisation home page or somewhere else sensible, eg</w:t>
      </w:r>
      <w:r>
        <w:t xml:space="preserve"> </w:t>
      </w:r>
      <w:hyperlink r:id="rId35">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36"/>
    <w:bookmarkStart w:id="40" w:name="refs"/>
    <w:p>
      <w:pPr>
        <w:pStyle w:val="Heading2"/>
      </w:pPr>
      <w:r>
        <w:rPr>
          <w:rStyle w:val="SectionNumber"/>
        </w:rPr>
        <w:t xml:space="preserve">2.5</w:t>
      </w:r>
      <w:r>
        <w:tab/>
      </w:r>
      <w:r>
        <w:t xml:space="preserve">References</w:t>
      </w:r>
    </w:p>
    <w:p>
      <w:pPr>
        <w:pStyle w:val="Bibliography"/>
      </w:pPr>
      <w:r>
        <w:t xml:space="preserve">See</w:t>
      </w:r>
      <w:r>
        <w:t xml:space="preserve"> </w:t>
      </w:r>
      <w:r>
        <w:t xml:space="preserve">2.4</w:t>
      </w:r>
      <w:r>
        <w:t xml:space="preserve"> </w:t>
      </w:r>
      <w:r>
        <w:t xml:space="preserve">for general linking guidance. Include a reference in-text after</w:t>
      </w:r>
      <w:r>
        <w:t xml:space="preserve"> </w:t>
      </w:r>
      <w:r>
        <w:t xml:space="preserve">the relevant sentence/paragraph. References should follow the style guide. When</w:t>
      </w:r>
      <w:r>
        <w:t xml:space="preserve"> </w:t>
      </w:r>
      <w:r>
        <w:t xml:space="preserve">writing a reference:</w:t>
      </w:r>
    </w:p>
    <w:p>
      <w:pPr>
        <w:numPr>
          <w:ilvl w:val="0"/>
          <w:numId w:val="1010"/>
        </w:numPr>
        <w:pStyle w:val="Compact"/>
      </w:pPr>
      <w:r>
        <w:t xml:space="preserve">do not use italics</w:t>
      </w:r>
    </w:p>
    <w:p>
      <w:pPr>
        <w:numPr>
          <w:ilvl w:val="0"/>
          <w:numId w:val="1010"/>
        </w:numPr>
        <w:pStyle w:val="Compact"/>
      </w:pPr>
      <w:r>
        <w:t xml:space="preserve">use single quote marks around titles</w:t>
      </w:r>
    </w:p>
    <w:p>
      <w:pPr>
        <w:numPr>
          <w:ilvl w:val="0"/>
          <w:numId w:val="1010"/>
        </w:numPr>
        <w:pStyle w:val="Compact"/>
      </w:pPr>
      <w:r>
        <w:t xml:space="preserve">write out abbreviations in full: page not p, Nutrition Journal not Nutr J.</w:t>
      </w:r>
    </w:p>
    <w:p>
      <w:pPr>
        <w:numPr>
          <w:ilvl w:val="0"/>
          <w:numId w:val="1010"/>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0"/>
        </w:numPr>
        <w:pStyle w:val="Compact"/>
      </w:pPr>
      <w:r>
        <w:t xml:space="preserve">do not use full stops after initials or at the end of the reference</w:t>
      </w:r>
    </w:p>
    <w:p>
      <w:pPr>
        <w:pStyle w:val="Bibliography"/>
      </w:pPr>
      <w:r>
        <w:rPr>
          <w:iCs/>
          <w:i/>
        </w:rPr>
        <w:t xml:space="preserve">References can also be included as footnotes, particularly where too long or unwieldy for convenience in text.</w:t>
      </w:r>
    </w:p>
    <w:p>
      <w:pPr>
        <w:pStyle w:val="Bibliography"/>
      </w:pPr>
      <w:r>
        <w:t xml:space="preserve">If the reference is available online, make the title a link and include the date</w:t>
      </w:r>
      <w:r>
        <w:t xml:space="preserve"> </w:t>
      </w:r>
      <w:r>
        <w:t xml:space="preserve">you accessed the online version. For example:</w:t>
      </w:r>
    </w:p>
    <w:p>
      <w:pPr>
        <w:numPr>
          <w:ilvl w:val="0"/>
          <w:numId w:val="1011"/>
        </w:numPr>
        <w:pStyle w:val="Bibliography"/>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1"/>
        </w:numPr>
        <w:pStyle w:val="Bibliography"/>
      </w:pPr>
      <w:r>
        <w:t xml:space="preserve">There is a recurring reference through multiple themes to AUK, check for consistency to make sure it is referenced as follows: (Defra.</w:t>
      </w:r>
      <w:r>
        <w:t xml:space="preserve"> </w:t>
      </w:r>
      <w:hyperlink r:id="rId3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1"/>
        </w:numPr>
        <w:pStyle w:val="Bibliography"/>
      </w:pPr>
      <w:r>
        <w:t xml:space="preserve">Example given on gov.uk: Corallo AN and others.</w:t>
      </w:r>
      <w:r>
        <w:t xml:space="preserve"> </w:t>
      </w:r>
      <w:hyperlink r:id="rId3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40"/>
    <w:bookmarkStart w:id="41" w:name="acronyms-text"/>
    <w:p>
      <w:pPr>
        <w:pStyle w:val="Heading2"/>
      </w:pPr>
      <w:r>
        <w:rPr>
          <w:rStyle w:val="SectionNumber"/>
        </w:rPr>
        <w:t xml:space="preserve">2.6</w:t>
      </w:r>
      <w:r>
        <w:tab/>
      </w:r>
      <w:r>
        <w:t xml:space="preserve">Acronyms</w:t>
      </w:r>
    </w:p>
    <w:p>
      <w:pPr>
        <w:numPr>
          <w:ilvl w:val="0"/>
          <w:numId w:val="1012"/>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2"/>
        </w:numPr>
      </w:pPr>
      <w:r>
        <w:t xml:space="preserve">Note that for web publishing, acronyms need a little more work (see</w:t>
      </w:r>
      <w:r>
        <w:t xml:space="preserve"> </w:t>
      </w:r>
      <w:r>
        <w:t xml:space="preserve">6.6.1</w:t>
      </w:r>
      <w:r>
        <w:t xml:space="preserve">).</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1"/>
    <w:bookmarkStart w:id="42" w:name="labelling-data"/>
    <w:p>
      <w:pPr>
        <w:pStyle w:val="Heading2"/>
      </w:pPr>
      <w:r>
        <w:rPr>
          <w:rStyle w:val="SectionNumber"/>
        </w:rPr>
        <w:t xml:space="preserve">2.7</w:t>
      </w:r>
      <w:r>
        <w:tab/>
      </w:r>
      <w:r>
        <w:t xml:space="preserve">Labelling data</w:t>
      </w:r>
    </w:p>
    <w:p>
      <w:pPr>
        <w:numPr>
          <w:ilvl w:val="0"/>
          <w:numId w:val="1013"/>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42"/>
    <w:bookmarkStart w:id="43" w:name="indicator-section-headings"/>
    <w:p>
      <w:pPr>
        <w:pStyle w:val="Heading2"/>
      </w:pPr>
      <w:r>
        <w:rPr>
          <w:rStyle w:val="SectionNumber"/>
        </w:rPr>
        <w:t xml:space="preserve">2.8</w:t>
      </w:r>
      <w:r>
        <w:tab/>
      </w:r>
      <w:r>
        <w:t xml:space="preserve">Indicator section headings</w:t>
      </w:r>
    </w:p>
    <w:p>
      <w:pPr>
        <w:pStyle w:val="FirstParagraph"/>
      </w:pPr>
      <w:r>
        <w:t xml:space="preserve">Each indicator should have the following headings (check for consistent spelling):</w:t>
      </w:r>
    </w:p>
    <w:p>
      <w:pPr>
        <w:numPr>
          <w:ilvl w:val="0"/>
          <w:numId w:val="1014"/>
        </w:numPr>
      </w:pPr>
      <w:r>
        <w:rPr>
          <w:bCs/>
          <w:b/>
        </w:rPr>
        <w:t xml:space="preserve">Headline</w:t>
      </w:r>
    </w:p>
    <w:p>
      <w:pPr>
        <w:numPr>
          <w:ilvl w:val="1"/>
          <w:numId w:val="1015"/>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4"/>
        </w:numPr>
      </w:pPr>
      <w:r>
        <w:rPr>
          <w:bCs/>
          <w:b/>
        </w:rPr>
        <w:t xml:space="preserve">Context and Rationale</w:t>
      </w:r>
    </w:p>
    <w:p>
      <w:pPr>
        <w:numPr>
          <w:ilvl w:val="1"/>
          <w:numId w:val="1016"/>
        </w:numPr>
        <w:pStyle w:val="Compact"/>
      </w:pPr>
      <w:r>
        <w:t xml:space="preserve">Background information for the data and explanation why this data matters for UK food security</w:t>
      </w:r>
    </w:p>
    <w:p>
      <w:pPr>
        <w:numPr>
          <w:ilvl w:val="0"/>
          <w:numId w:val="1014"/>
        </w:numPr>
      </w:pPr>
      <w:r>
        <w:rPr>
          <w:bCs/>
          <w:b/>
        </w:rPr>
        <w:t xml:space="preserve">Data and Assessment</w:t>
      </w:r>
    </w:p>
    <w:p>
      <w:pPr>
        <w:numPr>
          <w:ilvl w:val="1"/>
          <w:numId w:val="1017"/>
        </w:numPr>
        <w:pStyle w:val="Compact"/>
      </w:pPr>
      <w:r>
        <w:t xml:space="preserve">Data and source</w:t>
      </w:r>
    </w:p>
    <w:p>
      <w:pPr>
        <w:numPr>
          <w:ilvl w:val="2"/>
          <w:numId w:val="1018"/>
        </w:numPr>
        <w:pStyle w:val="Compact"/>
      </w:pPr>
      <w:r>
        <w:t xml:space="preserve">If multiple sources, list as follows:</w:t>
      </w:r>
      <w:r>
        <w:br/>
      </w:r>
    </w:p>
    <w:p>
      <w:pPr>
        <w:numPr>
          <w:ilvl w:val="2"/>
          <w:numId w:val="1018"/>
        </w:numPr>
        <w:pStyle w:val="Compact"/>
      </w:pPr>
      <w:r>
        <w:t xml:space="preserve">Source: FSA; FSS</w:t>
      </w:r>
    </w:p>
    <w:p>
      <w:pPr>
        <w:numPr>
          <w:ilvl w:val="1"/>
          <w:numId w:val="1017"/>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4"/>
        </w:numPr>
      </w:pPr>
      <w:r>
        <w:rPr>
          <w:bCs/>
          <w:b/>
        </w:rPr>
        <w:t xml:space="preserve">Rating and Trends / Direction of Travel</w:t>
      </w:r>
    </w:p>
    <w:p>
      <w:pPr>
        <w:numPr>
          <w:ilvl w:val="1"/>
          <w:numId w:val="1019"/>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43"/>
    <w:bookmarkStart w:id="44" w:name="the-voice"/>
    <w:p>
      <w:pPr>
        <w:pStyle w:val="Heading2"/>
      </w:pPr>
      <w:r>
        <w:rPr>
          <w:rStyle w:val="SectionNumber"/>
        </w:rPr>
        <w:t xml:space="preserve">2.9</w:t>
      </w:r>
      <w:r>
        <w:tab/>
      </w:r>
      <w:r>
        <w:t xml:space="preserve">The</w:t>
      </w:r>
      <w:r>
        <w:t xml:space="preserve"> </w:t>
      </w:r>
      <w:r>
        <w:t xml:space="preserve">‘</w:t>
      </w:r>
      <w:r>
        <w:t xml:space="preserve">Voice</w:t>
      </w:r>
      <w:r>
        <w:t xml:space="preserve">’</w:t>
      </w:r>
    </w:p>
    <w:p>
      <w:pPr>
        <w:numPr>
          <w:ilvl w:val="0"/>
          <w:numId w:val="1020"/>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4"/>
    <w:bookmarkStart w:id="45" w:name="e.g.-i.e.-etc."/>
    <w:p>
      <w:pPr>
        <w:pStyle w:val="Heading2"/>
      </w:pPr>
      <w:r>
        <w:rPr>
          <w:rStyle w:val="SectionNumber"/>
        </w:rPr>
        <w:t xml:space="preserve">2.10</w:t>
      </w:r>
      <w:r>
        <w:tab/>
      </w:r>
      <w:r>
        <w:t xml:space="preserve">e.g. / i.e. / etc.</w:t>
      </w:r>
    </w:p>
    <w:p>
      <w:pPr>
        <w:numPr>
          <w:ilvl w:val="0"/>
          <w:numId w:val="1021"/>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21"/>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21"/>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5"/>
    <w:bookmarkStart w:id="46" w:name="symbols"/>
    <w:p>
      <w:pPr>
        <w:pStyle w:val="Heading2"/>
      </w:pPr>
      <w:r>
        <w:rPr>
          <w:rStyle w:val="SectionNumber"/>
        </w:rPr>
        <w:t xml:space="preserve">2.11</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46"/>
    <w:bookmarkStart w:id="47" w:name="numbers"/>
    <w:p>
      <w:pPr>
        <w:pStyle w:val="Heading2"/>
      </w:pPr>
      <w:r>
        <w:rPr>
          <w:rStyle w:val="SectionNumber"/>
        </w:rPr>
        <w:t xml:space="preserve">2.12</w:t>
      </w:r>
      <w:r>
        <w:tab/>
      </w:r>
      <w:r>
        <w:t xml:space="preserve">Numbers</w:t>
      </w:r>
    </w:p>
    <w:p>
      <w:pPr>
        <w:numPr>
          <w:ilvl w:val="0"/>
          <w:numId w:val="1023"/>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23"/>
        </w:numPr>
        <w:pStyle w:val="Compact"/>
      </w:pPr>
      <w:r>
        <w:t xml:space="preserve">Use a % sign for percentages: 50%</w:t>
      </w:r>
    </w:p>
    <w:p>
      <w:pPr>
        <w:numPr>
          <w:ilvl w:val="0"/>
          <w:numId w:val="1023"/>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7"/>
    <w:bookmarkStart w:id="48" w:name="quotation-marks"/>
    <w:p>
      <w:pPr>
        <w:pStyle w:val="Heading2"/>
      </w:pPr>
      <w:r>
        <w:rPr>
          <w:rStyle w:val="SectionNumber"/>
        </w:rPr>
        <w:t xml:space="preserve">2.13</w:t>
      </w:r>
      <w:r>
        <w:tab/>
      </w:r>
      <w:r>
        <w:t xml:space="preserve">Quotation marks:</w:t>
      </w:r>
    </w:p>
    <w:p>
      <w:pPr>
        <w:pStyle w:val="FirstParagraph"/>
      </w:pPr>
      <w:r>
        <w:t xml:space="preserve">Use single quotes</w:t>
      </w:r>
    </w:p>
    <w:p>
      <w:pPr>
        <w:numPr>
          <w:ilvl w:val="0"/>
          <w:numId w:val="1024"/>
        </w:numPr>
        <w:pStyle w:val="Compact"/>
      </w:pPr>
      <w:r>
        <w:t xml:space="preserve">in headlines</w:t>
      </w:r>
    </w:p>
    <w:p>
      <w:pPr>
        <w:numPr>
          <w:ilvl w:val="0"/>
          <w:numId w:val="1024"/>
        </w:numPr>
        <w:pStyle w:val="Compact"/>
      </w:pPr>
      <w:r>
        <w:t xml:space="preserve">for unusual terms</w:t>
      </w:r>
    </w:p>
    <w:p>
      <w:pPr>
        <w:numPr>
          <w:ilvl w:val="0"/>
          <w:numId w:val="1024"/>
        </w:numPr>
        <w:pStyle w:val="Compact"/>
      </w:pPr>
      <w:r>
        <w:t xml:space="preserve">when referring to words</w:t>
      </w:r>
    </w:p>
    <w:p>
      <w:pPr>
        <w:numPr>
          <w:ilvl w:val="0"/>
          <w:numId w:val="1024"/>
        </w:numPr>
        <w:pStyle w:val="Compact"/>
      </w:pPr>
      <w:r>
        <w:t xml:space="preserve">when referring to publications</w:t>
      </w:r>
    </w:p>
    <w:p>
      <w:pPr>
        <w:pStyle w:val="FirstParagraph"/>
      </w:pPr>
      <w:r>
        <w:t xml:space="preserve">Use double quotes:</w:t>
      </w:r>
    </w:p>
    <w:p>
      <w:pPr>
        <w:numPr>
          <w:ilvl w:val="0"/>
          <w:numId w:val="1025"/>
        </w:numPr>
        <w:pStyle w:val="Compact"/>
      </w:pPr>
      <w:r>
        <w:t xml:space="preserve">Use double quotes in body text for direct quotations</w:t>
      </w:r>
    </w:p>
    <w:bookmarkEnd w:id="48"/>
    <w:bookmarkEnd w:id="49"/>
    <w:bookmarkStart w:id="58"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0">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3"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1">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2">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3"/>
    <w:bookmarkStart w:id="54"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54"/>
    <w:bookmarkStart w:id="55"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55"/>
    <w:bookmarkStart w:id="56"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56"/>
    <w:bookmarkStart w:id="57" w:name="helpers"/>
    <w:p>
      <w:pPr>
        <w:pStyle w:val="Heading2"/>
      </w:pPr>
      <w:r>
        <w:rPr>
          <w:rStyle w:val="SectionNumber"/>
        </w:rPr>
        <w:t xml:space="preserve">3.5</w:t>
      </w:r>
      <w:r>
        <w:tab/>
      </w:r>
      <w:r>
        <w:t xml:space="preserve">Helpers</w:t>
      </w:r>
    </w:p>
    <w:p>
      <w:pPr>
        <w:pStyle w:val="FirstParagraph"/>
      </w:pPr>
      <w:r>
        <w:t xml:space="preserve">The</w:t>
      </w:r>
      <w:r>
        <w:t xml:space="preserve"> </w:t>
      </w:r>
      <w:r>
        <w:rPr>
          <w:rStyle w:val="VerbatimChar"/>
        </w:rPr>
        <w:t xml:space="preserve">ukfsr</w:t>
      </w:r>
      <w:r>
        <w:t xml:space="preserve"> </w:t>
      </w:r>
      <w:r>
        <w:t xml:space="preserve">package contains functions to assist with preparing the report. See</w:t>
      </w:r>
      <w:r>
        <w:t xml:space="preserve"> </w:t>
      </w:r>
      <w:r>
        <w:t xml:space="preserve">[link to repo/docs] for details.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p>
      <w:pPr>
        <w:pStyle w:val="BodyText"/>
      </w:pPr>
      <w:r>
        <w:t xml:space="preserve">Defaults like linewidth = 1.5 for series need to be specified?</w:t>
      </w:r>
    </w:p>
    <w:bookmarkEnd w:id="57"/>
    <w:bookmarkEnd w:id="58"/>
    <w:bookmarkStart w:id="65"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59"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9"/>
    <w:bookmarkStart w:id="64"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0"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0"/>
    <w:bookmarkStart w:id="61"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1"/>
    <w:bookmarkStart w:id="62"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2"/>
    <w:bookmarkStart w:id="63"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3"/>
    <w:bookmarkEnd w:id="64"/>
    <w:bookmarkEnd w:id="65"/>
    <w:bookmarkStart w:id="71" w:name="theme-guides"/>
    <w:p>
      <w:pPr>
        <w:pStyle w:val="Heading1"/>
      </w:pPr>
      <w:r>
        <w:rPr>
          <w:rStyle w:val="SectionNumber"/>
        </w:rPr>
        <w:t xml:space="preserve">5</w:t>
      </w:r>
      <w:r>
        <w:tab/>
      </w:r>
      <w:r>
        <w:t xml:space="preserve">Theme guides</w:t>
      </w:r>
    </w:p>
    <w:bookmarkStart w:id="66" w:name="theme-1"/>
    <w:p>
      <w:pPr>
        <w:pStyle w:val="Heading2"/>
      </w:pPr>
      <w:r>
        <w:rPr>
          <w:rStyle w:val="SectionNumber"/>
        </w:rPr>
        <w:t xml:space="preserve">5.1</w:t>
      </w:r>
      <w:r>
        <w:tab/>
      </w:r>
      <w:r>
        <w:t xml:space="preserve">Theme 1</w:t>
      </w:r>
    </w:p>
    <w:bookmarkEnd w:id="66"/>
    <w:bookmarkStart w:id="67" w:name="theme-2"/>
    <w:p>
      <w:pPr>
        <w:pStyle w:val="Heading2"/>
      </w:pPr>
      <w:r>
        <w:rPr>
          <w:rStyle w:val="SectionNumber"/>
        </w:rPr>
        <w:t xml:space="preserve">5.2</w:t>
      </w:r>
      <w:r>
        <w:tab/>
      </w:r>
      <w:r>
        <w:t xml:space="preserve">Theme 2</w:t>
      </w:r>
    </w:p>
    <w:bookmarkEnd w:id="67"/>
    <w:bookmarkStart w:id="68" w:name="theme-3"/>
    <w:p>
      <w:pPr>
        <w:pStyle w:val="Heading2"/>
      </w:pPr>
      <w:r>
        <w:rPr>
          <w:rStyle w:val="SectionNumber"/>
        </w:rPr>
        <w:t xml:space="preserve">5.3</w:t>
      </w:r>
      <w:r>
        <w:tab/>
      </w:r>
      <w:r>
        <w:t xml:space="preserve">Theme 3</w:t>
      </w:r>
    </w:p>
    <w:bookmarkEnd w:id="68"/>
    <w:bookmarkStart w:id="69" w:name="theme-4"/>
    <w:p>
      <w:pPr>
        <w:pStyle w:val="Heading2"/>
      </w:pPr>
      <w:r>
        <w:rPr>
          <w:rStyle w:val="SectionNumber"/>
        </w:rPr>
        <w:t xml:space="preserve">5.4</w:t>
      </w:r>
      <w:r>
        <w:tab/>
      </w:r>
      <w:r>
        <w:t xml:space="preserve">Theme 4</w:t>
      </w:r>
    </w:p>
    <w:bookmarkEnd w:id="69"/>
    <w:bookmarkStart w:id="70" w:name="theme-5"/>
    <w:p>
      <w:pPr>
        <w:pStyle w:val="Heading2"/>
      </w:pPr>
      <w:r>
        <w:rPr>
          <w:rStyle w:val="SectionNumber"/>
        </w:rPr>
        <w:t xml:space="preserve">5.5</w:t>
      </w:r>
      <w:r>
        <w:tab/>
      </w:r>
      <w:r>
        <w:t xml:space="preserve">Theme 5</w:t>
      </w:r>
    </w:p>
    <w:bookmarkEnd w:id="70"/>
    <w:bookmarkEnd w:id="71"/>
    <w:bookmarkStart w:id="82" w:name="web"/>
    <w:p>
      <w:pPr>
        <w:pStyle w:val="Heading1"/>
      </w:pPr>
      <w:r>
        <w:rPr>
          <w:rStyle w:val="SectionNumber"/>
        </w:rPr>
        <w:t xml:space="preserve">6</w:t>
      </w:r>
      <w:r>
        <w:tab/>
      </w:r>
      <w:r>
        <w:t xml:space="preserve">Web publishing guidance</w:t>
      </w:r>
    </w:p>
    <w:bookmarkStart w:id="73"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72">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28"/>
        </w:numPr>
        <w:pStyle w:val="Compact"/>
      </w:pPr>
      <w:r>
        <w:t xml:space="preserve">web team to commandeer additional resource to cover second-eyes etc process during web print conversion</w:t>
      </w:r>
    </w:p>
    <w:bookmarkEnd w:id="73"/>
    <w:bookmarkStart w:id="74"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74"/>
    <w:bookmarkStart w:id="75"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PNG graphics from each Word document and place them in a separately created /images folder as .png files, leaving behind just the graphic title in the text, e.g. #### Figure X.XX. YYYY (now formatted in Markdown by the conversion process).</w:t>
      </w:r>
    </w:p>
    <w:bookmarkEnd w:id="75"/>
    <w:bookmarkStart w:id="77"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76">
        <w:r>
          <w:rPr>
            <w:rStyle w:val="Hyperlink"/>
          </w:rPr>
          <w:t xml:space="preserve">Govspeak converter and preview page</w:t>
        </w:r>
      </w:hyperlink>
      <w:r>
        <w:t xml:space="preserve"> </w:t>
      </w:r>
      <w:r>
        <w:t xml:space="preserve">and viewing the output on the page.</w:t>
      </w:r>
    </w:p>
    <w:p>
      <w:pPr>
        <w:pStyle w:val="BodyText"/>
      </w:pPr>
      <w:r>
        <w:t xml:space="preserve">Graphics handling: after Word document conversion, directly below the graphic title, add a descriptor (within square brackets) which should contain the graphic filename (with the correct nomenclature) with the inclusion now of the</w:t>
      </w:r>
      <w:r>
        <w:t xml:space="preserve"> </w:t>
      </w:r>
      <w:r>
        <w:t xml:space="preserve">‘</w:t>
      </w:r>
      <w:r>
        <w:t xml:space="preserve">.svg</w:t>
      </w:r>
      <w:r>
        <w:t xml:space="preserve">’</w:t>
      </w:r>
      <w:r>
        <w:t xml:space="preserve"> </w:t>
      </w:r>
      <w:r>
        <w:t xml:space="preserve">suffix for replacement of the PNG files with their SVG equivalents, i.e.</w:t>
      </w:r>
    </w:p>
    <w:p>
      <w:pPr>
        <w:pStyle w:val="BodyText"/>
      </w:pPr>
      <w:r>
        <w:t xml:space="preserve">[Image: XX.svg]</w:t>
      </w:r>
    </w:p>
    <w:p>
      <w:pPr>
        <w:pStyle w:val="BodyText"/>
      </w:pPr>
      <w:r>
        <w:t xml:space="preserve">leaving a blank line before and after. The SVG files will have been generated using the relevant R code by each analyst.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t xml:space="preserve">‘</w:t>
      </w:r>
      <w:r>
        <w:t xml:space="preserve">XX.svg</w:t>
      </w:r>
      <w:r>
        <w:t xml:space="preserve">’</w:t>
      </w:r>
      <w:r>
        <w:t xml:space="preserve"> </w:t>
      </w:r>
      <w:r>
        <w:t xml:space="preserve">SVG filenames manually underneath each graphic on the publisher landing page.</w:t>
      </w:r>
    </w:p>
    <w:p>
      <w:pPr>
        <w:pStyle w:val="BodyText"/>
      </w:pPr>
      <w:r>
        <w:t xml:space="preserve">Check each graphic has an appropriate line about accessibility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rPr>
          <w:bCs/>
          <w:b/>
        </w:rPr>
        <w:t xml:space="preserve">Figure XX.X description:</w:t>
      </w:r>
      <w:r>
        <w:t xml:space="preserve"> </w:t>
      </w:r>
      <w:r>
        <w:t xml:space="preserve">‘</w:t>
      </w:r>
      <w:r>
        <w:t xml:space="preserve">Figure XX.X is a line chart that shows the amount of consumer spending in the UK on food and non-alcoholic drink, alcoholic drink (off-licence only) and for catering from 2002 to 2022</w:t>
      </w:r>
      <w:r>
        <w:t xml:space="preserve">’</w:t>
      </w:r>
      <w:r>
        <w:t xml:space="preserve">. In essence this sentence is an expansion (if necessary) of the graphic title itself.</w:t>
      </w:r>
    </w:p>
    <w:p>
      <w:pPr>
        <w:pStyle w:val="BodyText"/>
      </w:pPr>
      <w:r>
        <w:t xml:space="preserve">CSV files: the current standard GOV.UK nomenclature for viewing/downloadng associated data CSV files is, for the data preview, e.g. </w:t>
      </w:r>
    </w:p>
    <w:p>
      <w:pPr>
        <w:pStyle w:val="SourceCode"/>
      </w:pPr>
      <w:r>
        <w:rPr>
          <w:rStyle w:val="VerbatimChar"/>
        </w:rPr>
        <w:t xml:space="preserve">https://assets.publishing.service.gov.uk/media/64beb60bd4051a00145a9201/foodchainanalysis-productivity-dataset_27jul2023i.csv/preview</w:t>
      </w:r>
    </w:p>
    <w:p>
      <w:pPr>
        <w:pStyle w:val="FirstParagraph"/>
      </w:pPr>
      <w:r>
        <w:t xml:space="preserve">and for the data download, e.g.</w:t>
      </w:r>
    </w:p>
    <w:p>
      <w:pPr>
        <w:pStyle w:val="SourceCode"/>
      </w:pPr>
      <w:r>
        <w:rPr>
          <w:rStyle w:val="VerbatimChar"/>
        </w:rPr>
        <w:t xml:space="preserve">https://www.gov.uk/government/uploads/system/uploads/attachment_data/file/1173363/foodchainanalysis-productivity-dataset_27jul2023i.csv</w:t>
      </w:r>
    </w:p>
    <w:p>
      <w:pPr>
        <w:pStyle w:val="FirstParagraph"/>
      </w:pPr>
      <w:r>
        <w:t xml:space="preserve">it will be good practice to have placeholders for these two urls placed directly underneath the accessibility text, as the onduty publisher will have to insert the unique</w:t>
      </w:r>
      <w:r>
        <w:t xml:space="preserve"> </w:t>
      </w:r>
      <w:r>
        <w:t xml:space="preserve">‘</w:t>
      </w:r>
      <w:r>
        <w:t xml:space="preserve">nodes</w:t>
      </w:r>
      <w:r>
        <w:t xml:space="preserve">’</w:t>
      </w:r>
      <w:r>
        <w:t xml:space="preserve"> </w:t>
      </w:r>
      <w:r>
        <w:t xml:space="preserve">for each graphic in the last step before submitting the report for 2i approval. Suggested format for this:</w:t>
      </w:r>
    </w:p>
    <w:p>
      <w:pPr>
        <w:pStyle w:val="SourceCode"/>
      </w:pPr>
      <w:r>
        <w:rPr>
          <w:rStyle w:val="VerbatimChar"/>
        </w:rPr>
        <w:t xml:space="preserve">[View the data for this chart](https://assets.publishing.service.gov.uk/media/NODE/XXX_PUBLICATION DATA.csv/preview)  </w:t>
      </w:r>
      <w:r>
        <w:br/>
      </w:r>
      <w:r>
        <w:br/>
      </w:r>
      <w:r>
        <w:rPr>
          <w:rStyle w:val="VerbatimChar"/>
        </w:rPr>
        <w:t xml:space="preserve">[Download the data for this chart](https://assets.publishing.service.gov.uk/media/NODE/XXX_PUBLICATION DATA.csv)</w:t>
      </w:r>
    </w:p>
    <w:bookmarkEnd w:id="77"/>
    <w:bookmarkStart w:id="79" w:name="formatting"/>
    <w:p>
      <w:pPr>
        <w:pStyle w:val="Heading2"/>
      </w:pPr>
      <w:r>
        <w:rPr>
          <w:rStyle w:val="SectionNumber"/>
        </w:rPr>
        <w:t xml:space="preserve">6.5</w:t>
      </w:r>
      <w:r>
        <w:tab/>
      </w:r>
      <w:r>
        <w:t xml:space="preserve">Formatting</w:t>
      </w:r>
    </w:p>
    <w:p>
      <w:pPr>
        <w:numPr>
          <w:ilvl w:val="0"/>
          <w:numId w:val="1029"/>
        </w:numPr>
      </w:pPr>
      <w:r>
        <w:t xml:space="preserve">To add external links to GOV.UK pages, use square brackets [] around the link text and round brackets () around the link URL, i.e. </w:t>
      </w:r>
      <w:r>
        <w:rPr>
          <w:rStyle w:val="VerbatimChar"/>
        </w:rPr>
        <w:t xml:space="preserve">[LINK TEXT](url)</w:t>
      </w:r>
      <w:r>
        <w:t xml:space="preserve">. Make sure there are no spaces between the brackets or the link will not work. When linking to any Whitehall content, use the Whitehall publisher link and not the website URL. The first part of the URL</w:t>
      </w:r>
      <w:r>
        <w:t xml:space="preserve"> </w:t>
      </w:r>
      <w:r>
        <w:rPr>
          <w:rStyle w:val="VerbatimChar"/>
        </w:rPr>
        <w:t xml:space="preserve">https://whitehall-admin.publishing.service.gov.uk/</w:t>
      </w:r>
      <w:r>
        <w:t xml:space="preserve"> </w:t>
      </w:r>
      <w:r>
        <w:t xml:space="preserve">should be used along with the relative path, for example: /government/admin/publications/123456 (i.e. use relative links).</w:t>
      </w:r>
    </w:p>
    <w:p>
      <w:pPr>
        <w:numPr>
          <w:ilvl w:val="0"/>
          <w:numId w:val="1029"/>
        </w:numPr>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r>
        <w:t xml:space="preserve"> </w:t>
      </w:r>
      <w:r>
        <w:rPr>
          <w:rStyle w:val="VerbatimChar"/>
        </w:rPr>
        <w:t xml:space="preserve">https://www.gov.uk/......#STUBNAME</w:t>
      </w:r>
      <w:r>
        <w:t xml:space="preserve">). 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w:t>
      </w:r>
      <w:r>
        <w:t xml:space="preserve"> </w:t>
      </w:r>
      <w:r>
        <w:rPr>
          <w:bCs/>
          <w:b/>
        </w:rPr>
        <w:t xml:space="preserve">EXAMPLE:</w:t>
      </w:r>
      <w:r>
        <w:t xml:space="preserve"> </w:t>
      </w:r>
      <w:r>
        <w:t xml:space="preserve">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section in the webpage, which is also indicated on the left hand side section menu window pane of the GOV.UK webpage.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78">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rPr>
          <w:rStyle w:val="VerbatimChar"/>
        </w:rPr>
        <w:t xml:space="preserve">'In 2021, the value of **[Gross Value Added](#tfp-glossary)**</w:t>
      </w:r>
      <w:r>
        <w:t xml:space="preserve">’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https://www.gov.uk/government/statistics/united-kingdom-food-security-report-2021/united-kingdom-food-security-report-2021-theme-2-uk-food-supply-sources</w:t>
      </w:r>
    </w:p>
    <w:p>
      <w:pPr>
        <w:pStyle w:val="FirstParagraph"/>
      </w:pPr>
      <w:r>
        <w:t xml:space="preserve"> </w:t>
      </w:r>
      <w:r>
        <w:t xml:space="preserve">switch to the Table of Contents</w:t>
      </w:r>
    </w:p>
    <w:p>
      <w:pPr>
        <w:pStyle w:val="SourceCode"/>
      </w:pPr>
      <w:r>
        <w:rPr>
          <w:rStyle w:val="VerbatimChar"/>
        </w:rPr>
        <w:t xml:space="preserve">https://www.gov.uk/government/statistics/united-kingdom-food-security-report-2021/united-kingdom-food-security-report-2021-contents</w:t>
      </w:r>
    </w:p>
    <w:p>
      <w:pPr>
        <w:pStyle w:val="FirstParagraph"/>
      </w:pPr>
      <w:r>
        <w:t xml:space="preserve"> </w:t>
      </w:r>
      <w:r>
        <w:t xml:space="preserve">switch to the Appendix</w:t>
      </w:r>
    </w:p>
    <w:p>
      <w:pPr>
        <w:pStyle w:val="SourceCode"/>
      </w:pPr>
      <w:r>
        <w:rPr>
          <w:rStyle w:val="VerbatimChar"/>
        </w:rPr>
        <w:t xml:space="preserve">https://www.gov.uk/government/statistics/united-kingdom-food-security-report-2021/united-kingdom-food-security-report-2021-appendix</w:t>
      </w:r>
    </w:p>
    <w:p>
      <w:pPr>
        <w:pStyle w:val="FirstParagraph"/>
      </w:pPr>
      <w:r>
        <w:t xml:space="preserve"> </w:t>
      </w:r>
      <w:r>
        <w:t xml:space="preserve">switch to the landing page</w:t>
      </w:r>
    </w:p>
    <w:p>
      <w:pPr>
        <w:pStyle w:val="SourceCode"/>
      </w:pPr>
      <w:r>
        <w:rPr>
          <w:rStyle w:val="VerbatimChar"/>
        </w:rPr>
        <w:t xml:space="preserve">https://www.gov.uk/government/statistics/united-kingdom-food-security-report-2021</w:t>
      </w:r>
    </w:p>
    <w:p>
      <w:pPr>
        <w:pStyle w:val="FirstParagraph"/>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0"/>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79"/>
    <w:bookmarkStart w:id="81" w:name="other-useful-things"/>
    <w:p>
      <w:pPr>
        <w:pStyle w:val="Heading2"/>
      </w:pPr>
      <w:r>
        <w:rPr>
          <w:rStyle w:val="SectionNumber"/>
        </w:rPr>
        <w:t xml:space="preserve">6.6</w:t>
      </w:r>
      <w:r>
        <w:tab/>
      </w:r>
      <w:r>
        <w:t xml:space="preserve">Other useful things</w:t>
      </w:r>
    </w:p>
    <w:bookmarkStart w:id="80"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2.6</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80"/>
    <w:bookmarkEnd w:id="81"/>
    <w:bookmarkEnd w:id="82"/>
    <w:bookmarkStart w:id="86"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83"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1"/>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1"/>
        </w:numPr>
        <w:pStyle w:val="Compact"/>
      </w:pPr>
      <w:r>
        <w:t xml:space="preserve">copy the final section docs into a new folder: this folder is the master print content</w:t>
      </w:r>
    </w:p>
    <w:p>
      <w:pPr>
        <w:numPr>
          <w:ilvl w:val="0"/>
          <w:numId w:val="1031"/>
        </w:numPr>
        <w:pStyle w:val="Compact"/>
      </w:pPr>
      <w:r>
        <w:t xml:space="preserve">get a copy of the Defra doc template which has a default front and back cover</w:t>
      </w:r>
    </w:p>
    <w:p>
      <w:pPr>
        <w:numPr>
          <w:ilvl w:val="0"/>
          <w:numId w:val="1031"/>
        </w:numPr>
        <w:pStyle w:val="Compact"/>
      </w:pPr>
      <w:r>
        <w:t xml:space="preserve">check and secure an ISBN/Defra document number</w:t>
      </w:r>
    </w:p>
    <w:p>
      <w:pPr>
        <w:numPr>
          <w:ilvl w:val="0"/>
          <w:numId w:val="1031"/>
        </w:numPr>
        <w:pStyle w:val="Compact"/>
      </w:pPr>
      <w:r>
        <w:t xml:space="preserve">check any standard copyright notice text</w:t>
      </w:r>
    </w:p>
    <w:p>
      <w:pPr>
        <w:numPr>
          <w:ilvl w:val="0"/>
          <w:numId w:val="1031"/>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2"/>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2"/>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2"/>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2"/>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83"/>
    <w:bookmarkStart w:id="84"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84"/>
    <w:bookmarkStart w:id="85"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85"/>
    <w:bookmarkEnd w:id="86"/>
    <w:bookmarkStart w:id="87" w:name="appendix"/>
    <w:p>
      <w:pPr>
        <w:pStyle w:val="Heading1"/>
      </w:pPr>
      <w:r>
        <w:t xml:space="preserve">Appendix</w:t>
      </w:r>
    </w:p>
    <w:bookmarkEnd w:id="87"/>
    <w:bookmarkStart w:id="98" w:name="miscellaneous"/>
    <w:p>
      <w:pPr>
        <w:pStyle w:val="Heading1"/>
      </w:pPr>
      <w:r>
        <w:rPr>
          <w:rStyle w:val="SectionNumber"/>
        </w:rPr>
        <w:t xml:space="preserve">8</w:t>
      </w:r>
      <w:r>
        <w:tab/>
      </w:r>
      <w:r>
        <w:t xml:space="preserve">Miscellaneous</w:t>
      </w:r>
    </w:p>
    <w:bookmarkStart w:id="88"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88"/>
    <w:bookmarkStart w:id="90" w:name="osr-feedback-on-ukfsr2021"/>
    <w:p>
      <w:pPr>
        <w:pStyle w:val="Heading2"/>
      </w:pPr>
      <w:r>
        <w:rPr>
          <w:rStyle w:val="SectionNumber"/>
        </w:rPr>
        <w:t xml:space="preserve">8.2</w:t>
      </w:r>
      <w:r>
        <w:tab/>
      </w:r>
      <w:r>
        <w:t xml:space="preserve">OSR feedback on UKFSR2021</w:t>
      </w:r>
    </w:p>
    <w:p>
      <w:pPr>
        <w:pStyle w:val="FirstParagraph"/>
      </w:pPr>
      <w:hyperlink r:id="rId89">
        <w:r>
          <w:rPr>
            <w:rStyle w:val="Hyperlink"/>
          </w:rPr>
          <w:t xml:space="preserve">Here.</w:t>
        </w:r>
      </w:hyperlink>
    </w:p>
    <w:bookmarkEnd w:id="90"/>
    <w:bookmarkStart w:id="97" w:name="general-legal-guidance-from-2024"/>
    <w:p>
      <w:pPr>
        <w:pStyle w:val="Heading2"/>
      </w:pPr>
      <w:r>
        <w:rPr>
          <w:rStyle w:val="SectionNumber"/>
        </w:rPr>
        <w:t xml:space="preserve">8.3</w:t>
      </w:r>
      <w:r>
        <w:tab/>
      </w:r>
      <w:r>
        <w:t xml:space="preserve">General legal guidance from 2024</w:t>
      </w:r>
    </w:p>
    <w:bookmarkStart w:id="92" w:name="legal-basis"/>
    <w:p>
      <w:pPr>
        <w:pStyle w:val="Heading3"/>
      </w:pPr>
      <w:r>
        <w:rPr>
          <w:rStyle w:val="SectionNumber"/>
        </w:rPr>
        <w:t xml:space="preserve">8.3.1</w:t>
      </w:r>
      <w:r>
        <w:tab/>
      </w:r>
      <w:r>
        <w:t xml:space="preserve">Legal basis</w:t>
      </w:r>
    </w:p>
    <w:p>
      <w:pPr>
        <w:pStyle w:val="FirstParagraph"/>
      </w:pPr>
      <w:hyperlink r:id="rId91">
        <w:r>
          <w:rPr>
            <w:rStyle w:val="Hyperlink"/>
          </w:rPr>
          <w:t xml:space="preserve">Agriculture Act 2020</w:t>
        </w:r>
      </w:hyperlink>
    </w:p>
    <w:bookmarkEnd w:id="92"/>
    <w:bookmarkStart w:id="96"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93"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93"/>
    <w:bookmarkStart w:id="94"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3"/>
        </w:numPr>
        <w:pStyle w:val="Compact"/>
      </w:pPr>
      <w:r>
        <w:t xml:space="preserve">integration principle</w:t>
      </w:r>
    </w:p>
    <w:p>
      <w:pPr>
        <w:numPr>
          <w:ilvl w:val="0"/>
          <w:numId w:val="1033"/>
        </w:numPr>
        <w:pStyle w:val="Compact"/>
      </w:pPr>
      <w:r>
        <w:t xml:space="preserve">prevention principle</w:t>
      </w:r>
    </w:p>
    <w:p>
      <w:pPr>
        <w:numPr>
          <w:ilvl w:val="0"/>
          <w:numId w:val="1033"/>
        </w:numPr>
        <w:pStyle w:val="Compact"/>
      </w:pPr>
      <w:r>
        <w:t xml:space="preserve">rectification at source principle</w:t>
      </w:r>
    </w:p>
    <w:p>
      <w:pPr>
        <w:numPr>
          <w:ilvl w:val="0"/>
          <w:numId w:val="1033"/>
        </w:numPr>
        <w:pStyle w:val="Compact"/>
      </w:pPr>
      <w:r>
        <w:t xml:space="preserve">polluter pays principle</w:t>
      </w:r>
    </w:p>
    <w:p>
      <w:pPr>
        <w:numPr>
          <w:ilvl w:val="0"/>
          <w:numId w:val="1033"/>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94"/>
    <w:bookmarkStart w:id="95"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95"/>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6" Target="https://govspeak-preview.publishing.service.gov.uk/" TargetMode="External" /><Relationship Type="http://schemas.openxmlformats.org/officeDocument/2006/relationships/hyperlink" Id="rId72" Target="https://govspeak-preview.publishing.service.gov.uk/guide" TargetMode="External" /><Relationship Type="http://schemas.openxmlformats.org/officeDocument/2006/relationships/hyperlink" Id="rId89"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78"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1"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0" Target="https://analysisfunction.civilservice.gov.uk/policy-store/data-visualisation-charts/" TargetMode="External" /><Relationship Type="http://schemas.openxmlformats.org/officeDocument/2006/relationships/hyperlink" Id="rId51" Target="https://analysisfunction.civilservice.gov.uk/policy-store/data-visualisation-colours-in-charts/" TargetMode="External" /><Relationship Type="http://schemas.openxmlformats.org/officeDocument/2006/relationships/hyperlink" Id="rId38" Target="https://assets.publishing.service.gov.uk/government/uploads/system/uploads/attachment_data/file/1056618/AUK2020_22feb22.pdf" TargetMode="External" /><Relationship Type="http://schemas.openxmlformats.org/officeDocument/2006/relationships/hyperlink" Id="rId52"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76" Target="https://govspeak-preview.publishing.service.gov.uk/" TargetMode="External" /><Relationship Type="http://schemas.openxmlformats.org/officeDocument/2006/relationships/hyperlink" Id="rId72" Target="https://govspeak-preview.publishing.service.gov.uk/guide" TargetMode="External" /><Relationship Type="http://schemas.openxmlformats.org/officeDocument/2006/relationships/hyperlink" Id="rId89" Target="https://osr.statisticsauthority.gov.uk/correspondence/mark-pont-to-ian-lonsdale-united-kingdom-food-security-report/" TargetMode="External" /><Relationship Type="http://schemas.openxmlformats.org/officeDocument/2006/relationships/hyperlink" Id="rId37"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78" Target="https://www.gov.uk/government/statistics/food-chain-productivity/total-factor-productivity-of-the-united-kingdom-food-chain-2021-final-release" TargetMode="External" /><Relationship Type="http://schemas.openxmlformats.org/officeDocument/2006/relationships/hyperlink" Id="rId29" Target="https://www.gov.uk/guidance/style-guide" TargetMode="External" /><Relationship Type="http://schemas.openxmlformats.org/officeDocument/2006/relationships/hyperlink" Id="rId91" Target="https://www.legislation.gov.uk/ukpga/2020/21/part/2/chapter/1/enacted" TargetMode="External" /><Relationship Type="http://schemas.openxmlformats.org/officeDocument/2006/relationships/hyperlink" Id="rId33" Target="https://www.ons.gov.uk/economy/inflationandpriceindices/bulletins/consumerpriceinflation/previousReleases" TargetMode="External" /><Relationship Type="http://schemas.openxmlformats.org/officeDocument/2006/relationships/hyperlink" Id="rId34" Target="https://www.ons.gov.uk/economy/inflationandpriceindices/bulletins/consumerpriceinflation/september2023" TargetMode="External" /><Relationship Type="http://schemas.openxmlformats.org/officeDocument/2006/relationships/hyperlink" Id="rId39" Target="https://www.sciencedirect.com/journal/health-policy" TargetMode="External" /><Relationship Type="http://schemas.openxmlformats.org/officeDocument/2006/relationships/hyperlink" Id="rId35"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2024-02-07T08:56:57Z</dcterms:created>
  <dcterms:modified xsi:type="dcterms:W3CDTF">2024-02-07T08:56:57Z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07 February 2024, 08:56 am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