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2024-01-12</w:t>
      </w:r>
    </w:p>
    <w:bookmarkStart w:id="22" w:name="about"/>
    <w:p>
      <w:pPr>
        <w:pStyle w:val="Heading1"/>
      </w:pPr>
      <w:r>
        <w:rPr>
          <w:rStyle w:val="SectionNumber"/>
        </w:rPr>
        <w:t xml:space="preserve">1</w:t>
      </w:r>
      <w:r>
        <w:tab/>
      </w:r>
      <w:r>
        <w:t xml:space="preserve">About</w:t>
      </w:r>
    </w:p>
    <w:p>
      <w:pPr>
        <w:pStyle w:val="FirstParagraph"/>
      </w:pPr>
      <w:r>
        <w:t xml:space="preserve">This is an experimental book/website for documentation and guidance relating to the UKFSR. The source is</w:t>
      </w:r>
      <w:r>
        <w:t xml:space="preserve"> </w:t>
      </w:r>
      <w:hyperlink r:id="rId20">
        <w:r>
          <w:rPr>
            <w:rStyle w:val="Hyperlink"/>
          </w:rPr>
          <w:t xml:space="preserve">here</w:t>
        </w:r>
      </w:hyperlink>
      <w:r>
        <w:t xml:space="preserve">.</w:t>
      </w:r>
    </w:p>
    <w:bookmarkStart w:id="21" w:name="usage"/>
    <w:p>
      <w:pPr>
        <w:pStyle w:val="Heading2"/>
      </w:pPr>
      <w:r>
        <w:rPr>
          <w:rStyle w:val="SectionNumber"/>
        </w:rPr>
        <w:t xml:space="preserve">1.1</w:t>
      </w:r>
      <w:r>
        <w:tab/>
      </w:r>
      <w:r>
        <w:t xml:space="preserve">Usage</w:t>
      </w:r>
    </w:p>
    <w:p>
      <w:pPr>
        <w:pStyle w:val="FirstParagraph"/>
      </w:pPr>
      <w:r>
        <w:t xml:space="preserve">The plan is to capture everything related to UKFSR2024 production based on lessons from UKFSR2021 which might be useful, and end up with a repository to pick up again once UKFSR2027 is being planned.</w:t>
      </w:r>
    </w:p>
    <w:p>
      <w:pPr>
        <w:pStyle w:val="BodyText"/>
      </w:pPr>
      <w:r>
        <w:t xml:space="preserve">We aim for a logical structure, but there may be some nuggets dropped in unusual places. Its a brain dump!</w:t>
      </w:r>
    </w:p>
    <w:p>
      <w:pPr>
        <w:pStyle w:val="BodyText"/>
      </w:pPr>
      <w:r>
        <w:t xml:space="preserve">We are working in the open, so this is not a Defra Sharepoint repository but a public Github one. We know that this means its not quite so accessible for policy professionals, but we will work on this. We are allowed to have internal conversations. We don’t put anything in here that we are not prepared to make public - its for future teams, to make sure we’ve captured all the useful info to make their lives easier. If there are sensitive messages/lessons, we store them somewhere else.</w:t>
      </w:r>
    </w:p>
    <w:p>
      <w:pPr>
        <w:pStyle w:val="BodyText"/>
      </w:pPr>
      <w:r>
        <w:t xml:space="preserve">This approach mirrors our approach to data and the production process: we are storing the relevant code we use to wrangle data and produce graphics in a similar repository. Data that is not open will of course not be shared.</w:t>
      </w:r>
    </w:p>
    <w:p>
      <w:pPr>
        <w:pStyle w:val="BodyText"/>
      </w:pPr>
      <w:r>
        <w:t xml:space="preserve">Being as open and reproducible as we can is one of the current ambitions for official statistics production. This site is part of our way of trying to meet that ambition. That does not mean we will not make necessary internal decisions as needed - those will be recorded appropriately and documented safely elsewhere.</w:t>
      </w:r>
    </w:p>
    <w:bookmarkEnd w:id="21"/>
    <w:bookmarkEnd w:id="22"/>
    <w:bookmarkStart w:id="42"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w:t>
      </w:r>
    </w:p>
    <w:bookmarkStart w:id="24" w:name="gov.uk-style-guide"/>
    <w:p>
      <w:pPr>
        <w:pStyle w:val="Heading2"/>
      </w:pPr>
      <w:r>
        <w:rPr>
          <w:rStyle w:val="SectionNumber"/>
        </w:rPr>
        <w:t xml:space="preserve">2.1</w:t>
      </w:r>
      <w:r>
        <w:tab/>
      </w:r>
      <w:r>
        <w:t xml:space="preserve">GOV.UK style guide</w:t>
      </w:r>
    </w:p>
    <w:p>
      <w:pPr>
        <w:pStyle w:val="FirstParagraph"/>
      </w:pPr>
      <w:r>
        <w:t xml:space="preserve">Guidance for all content published on gov.uk is available</w:t>
      </w:r>
      <w:r>
        <w:t xml:space="preserve"> </w:t>
      </w:r>
      <w:hyperlink r:id="rId23">
        <w:r>
          <w:rPr>
            <w:rStyle w:val="Hyperlink"/>
          </w:rPr>
          <w:t xml:space="preserve">here</w:t>
        </w:r>
      </w:hyperlink>
    </w:p>
    <w:bookmarkEnd w:id="24"/>
    <w:bookmarkStart w:id="25" w:name="formatting"/>
    <w:p>
      <w:pPr>
        <w:pStyle w:val="Heading2"/>
      </w:pPr>
      <w:r>
        <w:rPr>
          <w:rStyle w:val="SectionNumber"/>
        </w:rPr>
        <w:t xml:space="preserve">2.2</w:t>
      </w:r>
      <w:r>
        <w:tab/>
      </w:r>
      <w:r>
        <w:t xml:space="preserve">Formatting</w:t>
      </w:r>
    </w:p>
    <w:p>
      <w:pPr>
        <w:numPr>
          <w:ilvl w:val="0"/>
          <w:numId w:val="1001"/>
        </w:numPr>
        <w:pStyle w:val="Compact"/>
      </w:pPr>
      <w:r>
        <w:t xml:space="preserve">use appropriate styles, particularly for headings. These needed when building the master publications</w:t>
      </w:r>
    </w:p>
    <w:bookmarkEnd w:id="25"/>
    <w:bookmarkStart w:id="41" w:name="ukfsr-specific-guidance"/>
    <w:p>
      <w:pPr>
        <w:pStyle w:val="Heading2"/>
      </w:pPr>
      <w:r>
        <w:rPr>
          <w:rStyle w:val="SectionNumber"/>
        </w:rPr>
        <w:t xml:space="preserve">2.3</w:t>
      </w:r>
      <w:r>
        <w:tab/>
      </w:r>
      <w:r>
        <w:t xml:space="preserve">UKFSR specific guidance</w:t>
      </w:r>
    </w:p>
    <w:p>
      <w:pPr>
        <w:pStyle w:val="FirstParagraph"/>
      </w:pPr>
      <w:r>
        <w:t xml:space="preserve">Some of this may replicate the GDS advice.</w:t>
      </w:r>
    </w:p>
    <w:bookmarkStart w:id="26" w:name="spellingword-choice"/>
    <w:p>
      <w:pPr>
        <w:pStyle w:val="Heading3"/>
      </w:pPr>
      <w:r>
        <w:rPr>
          <w:rStyle w:val="SectionNumber"/>
        </w:rPr>
        <w:t xml:space="preserve">2.3.1</w:t>
      </w:r>
      <w:r>
        <w:tab/>
      </w:r>
      <w:r>
        <w:t xml:space="preserve">Spelling/Word choice</w:t>
      </w:r>
    </w:p>
    <w:p>
      <w:pPr>
        <w:numPr>
          <w:ilvl w:val="0"/>
          <w:numId w:val="1002"/>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2"/>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2"/>
        </w:numPr>
      </w:pPr>
      <w:r>
        <w:t xml:space="preserve">government, UK government (not capitalised unless it’s Welsh or Scottish Government)</w:t>
      </w:r>
    </w:p>
    <w:p>
      <w:pPr>
        <w:numPr>
          <w:ilvl w:val="0"/>
          <w:numId w:val="1002"/>
        </w:numPr>
      </w:pPr>
      <w:r>
        <w:t xml:space="preserve">other government departments</w:t>
      </w:r>
    </w:p>
    <w:p>
      <w:pPr>
        <w:numPr>
          <w:ilvl w:val="0"/>
          <w:numId w:val="1002"/>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2"/>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2"/>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2"/>
        </w:numPr>
      </w:pPr>
      <w:r>
        <w:t xml:space="preserve">Disabled people and not people with disabilities</w:t>
      </w:r>
    </w:p>
    <w:p>
      <w:pPr>
        <w:numPr>
          <w:ilvl w:val="0"/>
          <w:numId w:val="1002"/>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w:t>
      </w:r>
    </w:p>
    <w:p>
      <w:pPr>
        <w:numPr>
          <w:ilvl w:val="0"/>
          <w:numId w:val="1002"/>
        </w:numPr>
      </w:pPr>
      <w:r>
        <w:t xml:space="preserve">Talking about Brexit:</w:t>
      </w:r>
    </w:p>
    <w:p>
      <w:pPr>
        <w:numPr>
          <w:ilvl w:val="1"/>
          <w:numId w:val="1003"/>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4"/>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4"/>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4"/>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2"/>
        </w:numPr>
      </w:pPr>
      <w:r>
        <w:t xml:space="preserve">Dates: do not use a comma between the month and year: 4 June 2017</w:t>
      </w:r>
    </w:p>
    <w:p>
      <w:pPr>
        <w:numPr>
          <w:ilvl w:val="0"/>
          <w:numId w:val="1002"/>
        </w:numPr>
      </w:pPr>
      <w:r>
        <w:t xml:space="preserve">white paper (lower case)</w:t>
      </w:r>
    </w:p>
    <w:p>
      <w:pPr>
        <w:numPr>
          <w:ilvl w:val="0"/>
          <w:numId w:val="1002"/>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2"/>
        </w:numPr>
      </w:pPr>
      <w:r>
        <w:t xml:space="preserve">Words to avoid:</w:t>
      </w:r>
    </w:p>
    <w:p>
      <w:pPr>
        <w:numPr>
          <w:ilvl w:val="1"/>
          <w:numId w:val="1005"/>
        </w:numPr>
        <w:pStyle w:val="Compact"/>
      </w:pPr>
      <w:r>
        <w:t xml:space="preserve">Robust</w:t>
      </w:r>
    </w:p>
    <w:p>
      <w:pPr>
        <w:numPr>
          <w:ilvl w:val="1"/>
          <w:numId w:val="1005"/>
        </w:numPr>
        <w:pStyle w:val="Compact"/>
      </w:pPr>
      <w:r>
        <w:t xml:space="preserve">Overarching</w:t>
      </w:r>
    </w:p>
    <w:p>
      <w:pPr>
        <w:numPr>
          <w:ilvl w:val="1"/>
          <w:numId w:val="1005"/>
        </w:numPr>
        <w:pStyle w:val="Compact"/>
      </w:pPr>
      <w:r>
        <w:t xml:space="preserve">Strengthen (unless we are actually strengthening an architectural structure)</w:t>
      </w:r>
    </w:p>
    <w:p>
      <w:pPr>
        <w:numPr>
          <w:ilvl w:val="1"/>
          <w:numId w:val="1005"/>
        </w:numPr>
        <w:pStyle w:val="Compact"/>
      </w:pPr>
      <w:r>
        <w:t xml:space="preserve">Tackling</w:t>
      </w:r>
      <w:r>
        <w:br/>
      </w:r>
    </w:p>
    <w:p>
      <w:pPr>
        <w:numPr>
          <w:ilvl w:val="1"/>
          <w:numId w:val="1005"/>
        </w:numPr>
        <w:pStyle w:val="Compact"/>
      </w:pPr>
      <w:r>
        <w:t xml:space="preserve">Going forward</w:t>
      </w:r>
    </w:p>
    <w:p>
      <w:pPr>
        <w:numPr>
          <w:ilvl w:val="1"/>
          <w:numId w:val="1005"/>
        </w:numPr>
        <w:pStyle w:val="Compact"/>
      </w:pPr>
      <w:r>
        <w:t xml:space="preserve">In order to (superfluous, never use it)</w:t>
      </w:r>
    </w:p>
    <w:p>
      <w:pPr>
        <w:numPr>
          <w:ilvl w:val="1"/>
          <w:numId w:val="1005"/>
        </w:numPr>
        <w:pStyle w:val="Compact"/>
      </w:pPr>
      <w:r>
        <w:t xml:space="preserve">impact (do not use this as a synonym for have an effect on, or influence)</w:t>
      </w:r>
    </w:p>
    <w:p>
      <w:pPr>
        <w:numPr>
          <w:ilvl w:val="1"/>
          <w:numId w:val="1005"/>
        </w:numPr>
        <w:pStyle w:val="Compact"/>
      </w:pPr>
      <w:r>
        <w:t xml:space="preserve">facilitate (instead, say something specific about how you’re helping)</w:t>
      </w:r>
    </w:p>
    <w:p>
      <w:pPr>
        <w:numPr>
          <w:ilvl w:val="1"/>
          <w:numId w:val="1005"/>
        </w:numPr>
        <w:pStyle w:val="Compact"/>
      </w:pPr>
      <w:r>
        <w:t xml:space="preserve">focusing</w:t>
      </w:r>
    </w:p>
    <w:p>
      <w:pPr>
        <w:numPr>
          <w:ilvl w:val="1"/>
          <w:numId w:val="1005"/>
        </w:numPr>
        <w:pStyle w:val="Compact"/>
      </w:pPr>
      <w:r>
        <w:t xml:space="preserve">key (unless it unlocks something. A subject/thing is not key - it’s probably important)</w:t>
      </w:r>
    </w:p>
    <w:bookmarkEnd w:id="26"/>
    <w:bookmarkStart w:id="30" w:name="references"/>
    <w:p>
      <w:pPr>
        <w:pStyle w:val="Heading3"/>
      </w:pPr>
      <w:r>
        <w:rPr>
          <w:rStyle w:val="SectionNumber"/>
        </w:rPr>
        <w:t xml:space="preserve">2.3.2</w:t>
      </w:r>
      <w:r>
        <w:tab/>
      </w:r>
      <w:r>
        <w:t xml:space="preserve">References</w:t>
      </w:r>
    </w:p>
    <w:p>
      <w:pPr>
        <w:pStyle w:val="FirstParagraph"/>
      </w:pPr>
      <w:r>
        <w:t xml:space="preserve">Include a reference in-text after the relevant sentence/paragraph. References should follow the style guide. When writing a reference:</w:t>
      </w:r>
    </w:p>
    <w:p>
      <w:pPr>
        <w:numPr>
          <w:ilvl w:val="0"/>
          <w:numId w:val="1006"/>
        </w:numPr>
        <w:pStyle w:val="Compact"/>
      </w:pPr>
      <w:r>
        <w:t xml:space="preserve">do not use italics</w:t>
      </w:r>
    </w:p>
    <w:p>
      <w:pPr>
        <w:numPr>
          <w:ilvl w:val="0"/>
          <w:numId w:val="1006"/>
        </w:numPr>
        <w:pStyle w:val="Compact"/>
      </w:pPr>
      <w:r>
        <w:t xml:space="preserve">use single quote marks around titles</w:t>
      </w:r>
    </w:p>
    <w:p>
      <w:pPr>
        <w:numPr>
          <w:ilvl w:val="0"/>
          <w:numId w:val="1006"/>
        </w:numPr>
        <w:pStyle w:val="Compact"/>
      </w:pPr>
      <w:r>
        <w:t xml:space="preserve">write out abbreviations in full: page not p, Nutrition Journal not Nutr J.</w:t>
      </w:r>
    </w:p>
    <w:p>
      <w:pPr>
        <w:numPr>
          <w:ilvl w:val="0"/>
          <w:numId w:val="1006"/>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06"/>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07"/>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2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07"/>
        </w:numPr>
      </w:pPr>
      <w:r>
        <w:t xml:space="preserve">There is a recurring reference through multiple themes to AUK, check for consistency to make sure it is referenced as follows: (Defra.</w:t>
      </w:r>
      <w:r>
        <w:t xml:space="preserve"> </w:t>
      </w:r>
      <w:hyperlink r:id="rId2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07"/>
        </w:numPr>
      </w:pPr>
      <w:r>
        <w:t xml:space="preserve">Example given on gov.uk: Corallo AN and others.</w:t>
      </w:r>
      <w:r>
        <w:t xml:space="preserve"> </w:t>
      </w:r>
      <w:hyperlink r:id="rId2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30"/>
    <w:bookmarkStart w:id="40" w:name="general"/>
    <w:p>
      <w:pPr>
        <w:pStyle w:val="Heading3"/>
      </w:pPr>
      <w:r>
        <w:rPr>
          <w:rStyle w:val="SectionNumber"/>
        </w:rPr>
        <w:t xml:space="preserve">2.3.3</w:t>
      </w:r>
      <w:r>
        <w:tab/>
      </w:r>
      <w:r>
        <w:t xml:space="preserve">General</w:t>
      </w:r>
    </w:p>
    <w:bookmarkStart w:id="31" w:name="acronyms"/>
    <w:p>
      <w:pPr>
        <w:pStyle w:val="Heading4"/>
      </w:pPr>
      <w:r>
        <w:rPr>
          <w:rStyle w:val="SectionNumber"/>
        </w:rPr>
        <w:t xml:space="preserve">2.3.3.1</w:t>
      </w:r>
      <w:r>
        <w:tab/>
      </w:r>
      <w:r>
        <w:t xml:space="preserve">Acronyms</w:t>
      </w:r>
    </w:p>
    <w:p>
      <w:pPr>
        <w:numPr>
          <w:ilvl w:val="0"/>
          <w:numId w:val="1008"/>
        </w:numPr>
        <w:pStyle w:val="Compact"/>
      </w:pPr>
      <w:r>
        <w:t xml:space="preserve">Write out acronym for the first time in each theme, put abbreviation in brackets, then use abbreviation going forwards. This means acronyms should be re-introduced anew between the introduction and themes.</w:t>
      </w:r>
    </w:p>
    <w:bookmarkEnd w:id="31"/>
    <w:bookmarkStart w:id="32" w:name="labelling-data"/>
    <w:p>
      <w:pPr>
        <w:pStyle w:val="Heading4"/>
      </w:pPr>
      <w:r>
        <w:rPr>
          <w:rStyle w:val="SectionNumber"/>
        </w:rPr>
        <w:t xml:space="preserve">2.3.3.2</w:t>
      </w:r>
      <w:r>
        <w:tab/>
      </w:r>
      <w:r>
        <w:t xml:space="preserve">Labelling data</w:t>
      </w:r>
    </w:p>
    <w:p>
      <w:pPr>
        <w:numPr>
          <w:ilvl w:val="0"/>
          <w:numId w:val="1009"/>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2"/>
    <w:bookmarkStart w:id="33" w:name="headings"/>
    <w:p>
      <w:pPr>
        <w:pStyle w:val="Heading4"/>
      </w:pPr>
      <w:r>
        <w:rPr>
          <w:rStyle w:val="SectionNumber"/>
        </w:rPr>
        <w:t xml:space="preserve">2.3.3.3</w:t>
      </w:r>
      <w:r>
        <w:tab/>
      </w:r>
      <w:r>
        <w:t xml:space="preserve">Headings</w:t>
      </w:r>
    </w:p>
    <w:p>
      <w:pPr>
        <w:pStyle w:val="FirstParagraph"/>
      </w:pPr>
      <w:r>
        <w:t xml:space="preserve">Each indicator should have the following headings (check for consistent spelling):</w:t>
      </w:r>
    </w:p>
    <w:p>
      <w:pPr>
        <w:numPr>
          <w:ilvl w:val="0"/>
          <w:numId w:val="1010"/>
        </w:numPr>
      </w:pPr>
      <w:r>
        <w:rPr>
          <w:bCs/>
          <w:b/>
        </w:rPr>
        <w:t xml:space="preserve">Headline</w:t>
      </w:r>
    </w:p>
    <w:p>
      <w:pPr>
        <w:numPr>
          <w:ilvl w:val="1"/>
          <w:numId w:val="1011"/>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0"/>
        </w:numPr>
      </w:pPr>
      <w:r>
        <w:rPr>
          <w:bCs/>
          <w:b/>
        </w:rPr>
        <w:t xml:space="preserve">Context and Rationale</w:t>
      </w:r>
    </w:p>
    <w:p>
      <w:pPr>
        <w:numPr>
          <w:ilvl w:val="1"/>
          <w:numId w:val="1012"/>
        </w:numPr>
        <w:pStyle w:val="Compact"/>
      </w:pPr>
      <w:r>
        <w:t xml:space="preserve">Background information for the data and explanation why this data matters for UK food security</w:t>
      </w:r>
    </w:p>
    <w:p>
      <w:pPr>
        <w:numPr>
          <w:ilvl w:val="0"/>
          <w:numId w:val="1010"/>
        </w:numPr>
      </w:pPr>
      <w:r>
        <w:rPr>
          <w:bCs/>
          <w:b/>
        </w:rPr>
        <w:t xml:space="preserve">Data and Assessment</w:t>
      </w:r>
    </w:p>
    <w:p>
      <w:pPr>
        <w:numPr>
          <w:ilvl w:val="1"/>
          <w:numId w:val="1013"/>
        </w:numPr>
        <w:pStyle w:val="Compact"/>
      </w:pPr>
      <w:r>
        <w:t xml:space="preserve">Data and source</w:t>
      </w:r>
    </w:p>
    <w:p>
      <w:pPr>
        <w:numPr>
          <w:ilvl w:val="2"/>
          <w:numId w:val="1014"/>
        </w:numPr>
        <w:pStyle w:val="Compact"/>
      </w:pPr>
      <w:r>
        <w:t xml:space="preserve">If multiple sources, list as follows:</w:t>
      </w:r>
      <w:r>
        <w:br/>
      </w:r>
    </w:p>
    <w:p>
      <w:pPr>
        <w:numPr>
          <w:ilvl w:val="2"/>
          <w:numId w:val="1014"/>
        </w:numPr>
        <w:pStyle w:val="Compact"/>
      </w:pPr>
      <w:r>
        <w:t xml:space="preserve">Source: FSA; FSS</w:t>
      </w:r>
    </w:p>
    <w:p>
      <w:pPr>
        <w:numPr>
          <w:ilvl w:val="1"/>
          <w:numId w:val="1013"/>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0"/>
        </w:numPr>
      </w:pPr>
      <w:r>
        <w:rPr>
          <w:bCs/>
          <w:b/>
        </w:rPr>
        <w:t xml:space="preserve">Rating and Trends / Direction of Travel</w:t>
      </w:r>
    </w:p>
    <w:p>
      <w:pPr>
        <w:numPr>
          <w:ilvl w:val="1"/>
          <w:numId w:val="1015"/>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33"/>
    <w:bookmarkStart w:id="34" w:name="the-voice"/>
    <w:p>
      <w:pPr>
        <w:pStyle w:val="Heading4"/>
      </w:pPr>
      <w:r>
        <w:rPr>
          <w:rStyle w:val="SectionNumber"/>
        </w:rPr>
        <w:t xml:space="preserve">2.3.3.4</w:t>
      </w:r>
      <w:r>
        <w:tab/>
      </w:r>
      <w:r>
        <w:t xml:space="preserve">The</w:t>
      </w:r>
      <w:r>
        <w:t xml:space="preserve"> </w:t>
      </w:r>
      <w:r>
        <w:t xml:space="preserve">‘</w:t>
      </w:r>
      <w:r>
        <w:t xml:space="preserve">Voice</w:t>
      </w:r>
      <w:r>
        <w:t xml:space="preserve">’</w:t>
      </w:r>
    </w:p>
    <w:p>
      <w:pPr>
        <w:numPr>
          <w:ilvl w:val="0"/>
          <w:numId w:val="1016"/>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34"/>
    <w:bookmarkStart w:id="35" w:name="e.g.-i.e.-etc."/>
    <w:p>
      <w:pPr>
        <w:pStyle w:val="Heading4"/>
      </w:pPr>
      <w:r>
        <w:rPr>
          <w:rStyle w:val="SectionNumber"/>
        </w:rPr>
        <w:t xml:space="preserve">2.3.3.5</w:t>
      </w:r>
      <w:r>
        <w:tab/>
      </w:r>
      <w:r>
        <w:t xml:space="preserve">e.g. / i.e. / etc.</w:t>
      </w:r>
    </w:p>
    <w:p>
      <w:pPr>
        <w:numPr>
          <w:ilvl w:val="0"/>
          <w:numId w:val="1017"/>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7"/>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7"/>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35"/>
    <w:bookmarkStart w:id="36" w:name="symbols"/>
    <w:p>
      <w:pPr>
        <w:pStyle w:val="Heading4"/>
      </w:pPr>
      <w:r>
        <w:rPr>
          <w:rStyle w:val="SectionNumber"/>
        </w:rPr>
        <w:t xml:space="preserve">2.3.3.6</w:t>
      </w:r>
      <w:r>
        <w:tab/>
      </w:r>
      <w:r>
        <w:t xml:space="preserve">Symbols</w:t>
      </w:r>
    </w:p>
    <w:p>
      <w:pPr>
        <w:numPr>
          <w:ilvl w:val="0"/>
          <w:numId w:val="1018"/>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36"/>
    <w:bookmarkStart w:id="37" w:name="numbers"/>
    <w:p>
      <w:pPr>
        <w:pStyle w:val="Heading4"/>
      </w:pPr>
      <w:r>
        <w:rPr>
          <w:rStyle w:val="SectionNumber"/>
        </w:rPr>
        <w:t xml:space="preserve">2.3.3.7</w:t>
      </w:r>
      <w:r>
        <w:tab/>
      </w:r>
      <w:r>
        <w:t xml:space="preserve">Numbers</w:t>
      </w:r>
    </w:p>
    <w:p>
      <w:pPr>
        <w:numPr>
          <w:ilvl w:val="0"/>
          <w:numId w:val="1019"/>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9"/>
        </w:numPr>
        <w:pStyle w:val="Compact"/>
      </w:pPr>
      <w:r>
        <w:t xml:space="preserve">Use a % sign for percentages: 50%</w:t>
      </w:r>
    </w:p>
    <w:p>
      <w:pPr>
        <w:numPr>
          <w:ilvl w:val="0"/>
          <w:numId w:val="1019"/>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37"/>
    <w:bookmarkStart w:id="38" w:name="quotation-marks"/>
    <w:p>
      <w:pPr>
        <w:pStyle w:val="Heading4"/>
      </w:pPr>
      <w:r>
        <w:rPr>
          <w:rStyle w:val="SectionNumber"/>
        </w:rPr>
        <w:t xml:space="preserve">2.3.3.8</w:t>
      </w:r>
      <w:r>
        <w:tab/>
      </w:r>
      <w:r>
        <w:t xml:space="preserve">Quotation marks:</w:t>
      </w:r>
    </w:p>
    <w:p>
      <w:pPr>
        <w:pStyle w:val="FirstParagraph"/>
      </w:pPr>
      <w:r>
        <w:t xml:space="preserve">Use single quotes</w:t>
      </w:r>
    </w:p>
    <w:p>
      <w:pPr>
        <w:numPr>
          <w:ilvl w:val="0"/>
          <w:numId w:val="1020"/>
        </w:numPr>
        <w:pStyle w:val="Compact"/>
      </w:pPr>
      <w:r>
        <w:t xml:space="preserve">in headlines</w:t>
      </w:r>
    </w:p>
    <w:p>
      <w:pPr>
        <w:numPr>
          <w:ilvl w:val="0"/>
          <w:numId w:val="1020"/>
        </w:numPr>
        <w:pStyle w:val="Compact"/>
      </w:pPr>
      <w:r>
        <w:t xml:space="preserve">for unusual terms</w:t>
      </w:r>
    </w:p>
    <w:p>
      <w:pPr>
        <w:numPr>
          <w:ilvl w:val="0"/>
          <w:numId w:val="1020"/>
        </w:numPr>
        <w:pStyle w:val="Compact"/>
      </w:pPr>
      <w:r>
        <w:t xml:space="preserve">when referring to words</w:t>
      </w:r>
    </w:p>
    <w:p>
      <w:pPr>
        <w:numPr>
          <w:ilvl w:val="0"/>
          <w:numId w:val="1020"/>
        </w:numPr>
        <w:pStyle w:val="Compact"/>
      </w:pPr>
      <w:r>
        <w:t xml:space="preserve">when referring to publications</w:t>
      </w:r>
    </w:p>
    <w:p>
      <w:pPr>
        <w:pStyle w:val="FirstParagraph"/>
      </w:pPr>
      <w:r>
        <w:t xml:space="preserve">Use double quotes:</w:t>
      </w:r>
    </w:p>
    <w:p>
      <w:pPr>
        <w:numPr>
          <w:ilvl w:val="0"/>
          <w:numId w:val="1021"/>
        </w:numPr>
        <w:pStyle w:val="Compact"/>
      </w:pPr>
      <w:r>
        <w:t xml:space="preserve">Use double quotes in body text for direct quotations</w:t>
      </w:r>
    </w:p>
    <w:bookmarkEnd w:id="38"/>
    <w:bookmarkStart w:id="39" w:name="sentence-length"/>
    <w:p>
      <w:pPr>
        <w:pStyle w:val="Heading4"/>
      </w:pPr>
      <w:r>
        <w:rPr>
          <w:rStyle w:val="SectionNumber"/>
        </w:rPr>
        <w:t xml:space="preserve">2.3.3.9</w:t>
      </w:r>
      <w:r>
        <w:tab/>
      </w:r>
      <w:r>
        <w:t xml:space="preserve">Sentence length</w:t>
      </w:r>
    </w:p>
    <w:p>
      <w:pPr>
        <w:numPr>
          <w:ilvl w:val="0"/>
          <w:numId w:val="1022"/>
        </w:numPr>
        <w:pStyle w:val="Compact"/>
      </w:pPr>
      <w:r>
        <w:t xml:space="preserve">Do not use long sentences. Check sentences with more than 25 words to see if you can split them to make them clearer.</w:t>
      </w:r>
    </w:p>
    <w:bookmarkEnd w:id="39"/>
    <w:bookmarkEnd w:id="40"/>
    <w:bookmarkEnd w:id="41"/>
    <w:bookmarkEnd w:id="42"/>
    <w:bookmarkStart w:id="49"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Chapter</w:t>
      </w:r>
      <w:r>
        <w:t xml:space="preserve"> </w:t>
      </w:r>
      <w:r>
        <w:t xml:space="preserve">2</w:t>
      </w:r>
      <w:r>
        <w:t xml:space="preserve">. There is general guidance on chart design</w:t>
      </w:r>
      <w:r>
        <w:t xml:space="preserve"> </w:t>
      </w:r>
      <w:r>
        <w:t xml:space="preserve">produced by the</w:t>
      </w:r>
      <w:r>
        <w:t xml:space="preserve"> </w:t>
      </w:r>
      <w:hyperlink r:id="rId43">
        <w:r>
          <w:rPr>
            <w:rStyle w:val="Hyperlink"/>
          </w:rPr>
          <w:t xml:space="preserve">Analysis Function</w:t>
        </w:r>
      </w:hyperlink>
      <w:r>
        <w:t xml:space="preserve">.</w:t>
      </w:r>
    </w:p>
    <w:bookmarkStart w:id="46"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44">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45">
        <w:r>
          <w:rPr>
            <w:rStyle w:val="Hyperlink"/>
          </w:rPr>
          <w:t xml:space="preserve">palette</w:t>
        </w:r>
      </w:hyperlink>
      <w:r>
        <w:t xml:space="preserve">.</w:t>
      </w:r>
    </w:p>
    <w:bookmarkEnd w:id="46"/>
    <w:bookmarkStart w:id="47" w:name="chart-context"/>
    <w:p>
      <w:pPr>
        <w:pStyle w:val="Heading2"/>
      </w:pPr>
      <w:r>
        <w:rPr>
          <w:rStyle w:val="SectionNumber"/>
        </w:rPr>
        <w:t xml:space="preserve">3.2</w:t>
      </w:r>
      <w:r>
        <w:tab/>
      </w:r>
      <w:r>
        <w:t xml:space="preserve">Chart context</w:t>
      </w:r>
    </w:p>
    <w:p>
      <w:pPr>
        <w:pStyle w:val="FirstParagraph"/>
      </w:pPr>
      <w:r>
        <w:t xml:space="preserve">Eache chart is accompanied by some additional features:</w:t>
      </w:r>
    </w:p>
    <w:p>
      <w:pPr>
        <w:numPr>
          <w:ilvl w:val="0"/>
          <w:numId w:val="1023"/>
        </w:numPr>
        <w:pStyle w:val="Compact"/>
      </w:pPr>
      <w:r>
        <w:t xml:space="preserve">CSV: the csv of the chart data is required for a preview/download link</w:t>
      </w:r>
    </w:p>
    <w:p>
      <w:pPr>
        <w:numPr>
          <w:ilvl w:val="0"/>
          <w:numId w:val="1023"/>
        </w:numPr>
        <w:pStyle w:val="Compact"/>
      </w:pPr>
      <w:r>
        <w:t xml:space="preserve">URL to source: the default is a kink to collection pages wherever possible.</w:t>
      </w:r>
    </w:p>
    <w:bookmarkEnd w:id="47"/>
    <w:bookmarkStart w:id="48" w:name="resolutionformat"/>
    <w:p>
      <w:pPr>
        <w:pStyle w:val="Heading2"/>
      </w:pPr>
      <w:r>
        <w:rPr>
          <w:rStyle w:val="SectionNumber"/>
        </w:rPr>
        <w:t xml:space="preserve">3.3</w:t>
      </w:r>
      <w:r>
        <w:tab/>
      </w:r>
      <w:r>
        <w:t xml:space="preserve">Resolution/format</w:t>
      </w:r>
    </w:p>
    <w:p>
      <w:pPr>
        <w:pStyle w:val="FirstParagraph"/>
      </w:pPr>
      <w:r>
        <w:t xml:space="preserve">SVG/PNG</w:t>
      </w:r>
    </w:p>
    <w:bookmarkEnd w:id="48"/>
    <w:bookmarkEnd w:id="49"/>
    <w:bookmarkStart w:id="57" w:name="data-guide"/>
    <w:p>
      <w:pPr>
        <w:pStyle w:val="Heading1"/>
      </w:pPr>
      <w:r>
        <w:rPr>
          <w:rStyle w:val="SectionNumber"/>
        </w:rPr>
        <w:t xml:space="preserve">4</w:t>
      </w:r>
      <w:r>
        <w:tab/>
      </w:r>
      <w:r>
        <w:t xml:space="preserve">Data guide</w:t>
      </w:r>
    </w:p>
    <w:p>
      <w:pPr>
        <w:pStyle w:val="FirstParagraph"/>
      </w:pPr>
      <w:r>
        <w:t xml:space="preserve">How we prepare and organise data.</w:t>
      </w:r>
    </w:p>
    <w:bookmarkStart w:id="55" w:name="storage"/>
    <w:p>
      <w:pPr>
        <w:pStyle w:val="Heading2"/>
      </w:pPr>
      <w:r>
        <w:rPr>
          <w:rStyle w:val="SectionNumber"/>
        </w:rPr>
        <w:t xml:space="preserve">4.1</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50" w:name="access"/>
    <w:p>
      <w:pPr>
        <w:pStyle w:val="Heading3"/>
      </w:pPr>
      <w:r>
        <w:rPr>
          <w:rStyle w:val="SectionNumber"/>
        </w:rPr>
        <w:t xml:space="preserve">4.1.1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50"/>
    <w:bookmarkStart w:id="51" w:name="structure"/>
    <w:p>
      <w:pPr>
        <w:pStyle w:val="Heading3"/>
      </w:pPr>
      <w:r>
        <w:rPr>
          <w:rStyle w:val="SectionNumber"/>
        </w:rPr>
        <w:t xml:space="preserve">4.1.2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TX.n</w:t>
            </w:r>
          </w:p>
        </w:tc>
        <w:tc>
          <w:tcPr/>
          <w:p>
            <w:pPr>
              <w:pStyle w:val="Compact"/>
            </w:pPr>
          </w:p>
        </w:tc>
        <w:tc>
          <w:tcPr/>
          <w:p>
            <w:pPr>
              <w:pStyle w:val="Compact"/>
            </w:pPr>
          </w:p>
        </w:tc>
        <w:tc>
          <w:tcPr/>
          <w:p>
            <w:pPr>
              <w:pStyle w:val="Compact"/>
              <w:jc w:val="left"/>
            </w:pPr>
            <w:r>
              <w:t xml:space="preserve">Indicator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51"/>
    <w:bookmarkStart w:id="52" w:name="file-naming-convention"/>
    <w:p>
      <w:pPr>
        <w:pStyle w:val="Heading3"/>
      </w:pPr>
      <w:r>
        <w:rPr>
          <w:rStyle w:val="SectionNumber"/>
        </w:rPr>
        <w:t xml:space="preserve">4.1.3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TX_X.n_description.svg/png/csv</w:t>
      </w:r>
    </w:p>
    <w:p>
      <w:pPr>
        <w:pStyle w:val="BodyText"/>
      </w:pPr>
      <w:r>
        <w:t xml:space="preserve">where:</w:t>
      </w:r>
    </w:p>
    <w:p>
      <w:pPr>
        <w:numPr>
          <w:ilvl w:val="0"/>
          <w:numId w:val="1024"/>
        </w:numPr>
      </w:pPr>
      <w:r>
        <w:rPr>
          <w:rStyle w:val="VerbatimChar"/>
        </w:rPr>
        <w:t xml:space="preserve">X</w:t>
      </w:r>
      <w:r>
        <w:t xml:space="preserve"> </w:t>
      </w:r>
      <w:r>
        <w:t xml:space="preserve">is theme number</w:t>
      </w:r>
    </w:p>
    <w:p>
      <w:pPr>
        <w:numPr>
          <w:ilvl w:val="0"/>
          <w:numId w:val="1024"/>
        </w:numPr>
      </w:pPr>
      <w:r>
        <w:rPr>
          <w:rStyle w:val="VerbatimChar"/>
        </w:rPr>
        <w:t xml:space="preserve">n</w:t>
      </w:r>
      <w:r>
        <w:t xml:space="preserve"> </w:t>
      </w:r>
      <w:r>
        <w:t xml:space="preserve">is indicator number</w:t>
      </w:r>
    </w:p>
    <w:p>
      <w:pPr>
        <w:numPr>
          <w:ilvl w:val="0"/>
          <w:numId w:val="1024"/>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4"/>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52"/>
    <w:bookmarkStart w:id="54" w:name="code"/>
    <w:p>
      <w:pPr>
        <w:pStyle w:val="Heading3"/>
      </w:pPr>
      <w:r>
        <w:rPr>
          <w:rStyle w:val="SectionNumber"/>
        </w:rPr>
        <w:t xml:space="preserve">4.1.4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53">
        <w:r>
          <w:rPr>
            <w:rStyle w:val="Hyperlink"/>
          </w:rPr>
          <w:t xml:space="preserve">https://github.com/Defra-Data-Science-Centre-of-Excellence/UKFSR2024</w:t>
        </w:r>
      </w:hyperlink>
      <w:r>
        <w:t xml:space="preserve">. It is crucial that the content code for graphics and related output is captured here.</w:t>
      </w:r>
    </w:p>
    <w:bookmarkEnd w:id="54"/>
    <w:bookmarkEnd w:id="55"/>
    <w:bookmarkStart w:id="56" w:name="format"/>
    <w:p>
      <w:pPr>
        <w:pStyle w:val="Heading2"/>
      </w:pPr>
      <w:r>
        <w:rPr>
          <w:rStyle w:val="SectionNumber"/>
        </w:rPr>
        <w:t xml:space="preserve">4.2</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56"/>
    <w:bookmarkEnd w:id="57"/>
    <w:bookmarkStart w:id="63" w:name="theme-guides"/>
    <w:p>
      <w:pPr>
        <w:pStyle w:val="Heading1"/>
      </w:pPr>
      <w:r>
        <w:rPr>
          <w:rStyle w:val="SectionNumber"/>
        </w:rPr>
        <w:t xml:space="preserve">5</w:t>
      </w:r>
      <w:r>
        <w:tab/>
      </w:r>
      <w:r>
        <w:t xml:space="preserve">Theme guides</w:t>
      </w:r>
    </w:p>
    <w:bookmarkStart w:id="58" w:name="theme-1"/>
    <w:p>
      <w:pPr>
        <w:pStyle w:val="Heading2"/>
      </w:pPr>
      <w:r>
        <w:rPr>
          <w:rStyle w:val="SectionNumber"/>
        </w:rPr>
        <w:t xml:space="preserve">5.1</w:t>
      </w:r>
      <w:r>
        <w:tab/>
      </w:r>
      <w:r>
        <w:t xml:space="preserve">Theme 1</w:t>
      </w:r>
    </w:p>
    <w:bookmarkEnd w:id="58"/>
    <w:bookmarkStart w:id="59" w:name="theme-2"/>
    <w:p>
      <w:pPr>
        <w:pStyle w:val="Heading2"/>
      </w:pPr>
      <w:r>
        <w:rPr>
          <w:rStyle w:val="SectionNumber"/>
        </w:rPr>
        <w:t xml:space="preserve">5.2</w:t>
      </w:r>
      <w:r>
        <w:tab/>
      </w:r>
      <w:r>
        <w:t xml:space="preserve">Theme 2</w:t>
      </w:r>
    </w:p>
    <w:bookmarkEnd w:id="59"/>
    <w:bookmarkStart w:id="60" w:name="theme-3"/>
    <w:p>
      <w:pPr>
        <w:pStyle w:val="Heading2"/>
      </w:pPr>
      <w:r>
        <w:rPr>
          <w:rStyle w:val="SectionNumber"/>
        </w:rPr>
        <w:t xml:space="preserve">5.3</w:t>
      </w:r>
      <w:r>
        <w:tab/>
      </w:r>
      <w:r>
        <w:t xml:space="preserve">Theme 3</w:t>
      </w:r>
    </w:p>
    <w:bookmarkEnd w:id="60"/>
    <w:bookmarkStart w:id="61" w:name="theme-4"/>
    <w:p>
      <w:pPr>
        <w:pStyle w:val="Heading2"/>
      </w:pPr>
      <w:r>
        <w:rPr>
          <w:rStyle w:val="SectionNumber"/>
        </w:rPr>
        <w:t xml:space="preserve">5.4</w:t>
      </w:r>
      <w:r>
        <w:tab/>
      </w:r>
      <w:r>
        <w:t xml:space="preserve">Theme 4</w:t>
      </w:r>
    </w:p>
    <w:bookmarkEnd w:id="61"/>
    <w:bookmarkStart w:id="62" w:name="theme-5"/>
    <w:p>
      <w:pPr>
        <w:pStyle w:val="Heading2"/>
      </w:pPr>
      <w:r>
        <w:rPr>
          <w:rStyle w:val="SectionNumber"/>
        </w:rPr>
        <w:t xml:space="preserve">5.5</w:t>
      </w:r>
      <w:r>
        <w:tab/>
      </w:r>
      <w:r>
        <w:t xml:space="preserve">Theme 5</w:t>
      </w:r>
    </w:p>
    <w:bookmarkEnd w:id="62"/>
    <w:bookmarkEnd w:id="63"/>
    <w:bookmarkStart w:id="69" w:name="web-publishing-guidance"/>
    <w:p>
      <w:pPr>
        <w:pStyle w:val="Heading1"/>
      </w:pPr>
      <w:r>
        <w:rPr>
          <w:rStyle w:val="SectionNumber"/>
        </w:rPr>
        <w:t xml:space="preserve">6</w:t>
      </w:r>
      <w:r>
        <w:tab/>
      </w:r>
      <w:r>
        <w:t xml:space="preserve">Web publishing guidance</w:t>
      </w:r>
    </w:p>
    <w:bookmarkStart w:id="64" w:name="logistics"/>
    <w:p>
      <w:pPr>
        <w:pStyle w:val="Heading2"/>
      </w:pPr>
      <w:r>
        <w:rPr>
          <w:rStyle w:val="SectionNumber"/>
        </w:rPr>
        <w:t xml:space="preserve">6.1</w:t>
      </w:r>
      <w:r>
        <w:tab/>
      </w:r>
      <w:r>
        <w:t xml:space="preserve">Logistics</w:t>
      </w:r>
    </w:p>
    <w:p>
      <w:pPr>
        <w:pStyle w:val="FirstParagraph"/>
      </w:pPr>
      <w:r>
        <w:t xml:space="preserve">Web publishing for statistics is handled by a small number of people who are accredited to use whitehall Publisher. We are fortunate to have two publishers in the food team. But there is an overhead.</w:t>
      </w:r>
      <w:r>
        <w:t xml:space="preserve"> </w:t>
      </w:r>
      <w:r>
        <w:rPr>
          <w:bCs/>
          <w:b/>
        </w:rPr>
        <w:t xml:space="preserve">Factor in prep for web time! (ideally 1 week)</w:t>
      </w:r>
    </w:p>
    <w:p>
      <w:pPr>
        <w:numPr>
          <w:ilvl w:val="0"/>
          <w:numId w:val="1025"/>
        </w:numPr>
        <w:pStyle w:val="Compact"/>
      </w:pPr>
      <w:r>
        <w:t xml:space="preserve">web team to commandeer additional resource to cover secondeyes etc process during web print conversion</w:t>
      </w:r>
    </w:p>
    <w:bookmarkEnd w:id="64"/>
    <w:bookmarkStart w:id="65" w:name="converting-word-documents-to-markdown"/>
    <w:p>
      <w:pPr>
        <w:pStyle w:val="Heading2"/>
      </w:pPr>
      <w:r>
        <w:rPr>
          <w:rStyle w:val="SectionNumber"/>
        </w:rPr>
        <w:t xml:space="preserve">6.2</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65"/>
    <w:bookmarkStart w:id="66" w:name="graphics"/>
    <w:p>
      <w:pPr>
        <w:pStyle w:val="Heading2"/>
      </w:pPr>
      <w:r>
        <w:rPr>
          <w:rStyle w:val="SectionNumber"/>
        </w:rPr>
        <w:t xml:space="preserve">6.3</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66"/>
    <w:bookmarkStart w:id="68" w:name="other-useful-things"/>
    <w:p>
      <w:pPr>
        <w:pStyle w:val="Heading2"/>
      </w:pPr>
      <w:r>
        <w:rPr>
          <w:rStyle w:val="SectionNumber"/>
        </w:rPr>
        <w:t xml:space="preserve">6.4</w:t>
      </w:r>
      <w:r>
        <w:tab/>
      </w:r>
      <w:r>
        <w:t xml:space="preserve">Other useful things</w:t>
      </w:r>
    </w:p>
    <w:bookmarkStart w:id="67" w:name="acronym-markdown"/>
    <w:p>
      <w:pPr>
        <w:pStyle w:val="Heading3"/>
      </w:pPr>
      <w:r>
        <w:rPr>
          <w:rStyle w:val="SectionNumber"/>
        </w:rPr>
        <w:t xml:space="preserve">6.4.1</w:t>
      </w:r>
      <w:r>
        <w:tab/>
      </w:r>
      <w:r>
        <w:t xml:space="preserve">Acronym markdown</w:t>
      </w:r>
    </w:p>
    <w:p>
      <w:pPr>
        <w:pStyle w:val="FirstParagraph"/>
      </w:pPr>
      <w:r>
        <w:t xml:space="preserve">Add to end of file, each one on a newline</w:t>
      </w:r>
    </w:p>
    <w:p>
      <w:pPr>
        <w:pStyle w:val="SourceCode"/>
      </w:pPr>
      <w:r>
        <w:rPr>
          <w:rStyle w:val="VerbatimChar"/>
        </w:rPr>
        <w:t xml:space="preserve">*[UKFSR]: UK Food Security Report</w:t>
      </w:r>
    </w:p>
    <w:bookmarkEnd w:id="67"/>
    <w:bookmarkEnd w:id="68"/>
    <w:bookmarkEnd w:id="69"/>
    <w:bookmarkStart w:id="73" w:name="physical-print-edition"/>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 edition. For UKFSR2021 the printers needed a PDF of the final document to turn into the final laid report.</w:t>
      </w:r>
    </w:p>
    <w:p>
      <w:pPr>
        <w:pStyle w:val="BodyText"/>
      </w:pPr>
      <w:r>
        <w:rPr>
          <w:bCs/>
          <w:b/>
        </w:rPr>
        <w:t xml:space="preserve">Factor in print publication time! (ideally 1 week)</w:t>
      </w:r>
    </w:p>
    <w:bookmarkStart w:id="70"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26"/>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26"/>
        </w:numPr>
        <w:pStyle w:val="Compact"/>
      </w:pPr>
      <w:r>
        <w:t xml:space="preserve">copy the final section docs into a new folder: this folder is the master print content</w:t>
      </w:r>
    </w:p>
    <w:p>
      <w:pPr>
        <w:numPr>
          <w:ilvl w:val="0"/>
          <w:numId w:val="1026"/>
        </w:numPr>
        <w:pStyle w:val="Compact"/>
      </w:pPr>
      <w:r>
        <w:t xml:space="preserve">get a copy of the Defra doc template which has a default front and back cover</w:t>
      </w:r>
    </w:p>
    <w:p>
      <w:pPr>
        <w:numPr>
          <w:ilvl w:val="0"/>
          <w:numId w:val="1026"/>
        </w:numPr>
        <w:pStyle w:val="Compact"/>
      </w:pPr>
      <w:r>
        <w:t xml:space="preserve">check and secure an ISBN/Defra document number</w:t>
      </w:r>
    </w:p>
    <w:p>
      <w:pPr>
        <w:numPr>
          <w:ilvl w:val="0"/>
          <w:numId w:val="1026"/>
        </w:numPr>
        <w:pStyle w:val="Compact"/>
      </w:pPr>
      <w:r>
        <w:t xml:space="preserve">check any standard copyright notice text</w:t>
      </w:r>
    </w:p>
    <w:p>
      <w:pPr>
        <w:numPr>
          <w:ilvl w:val="0"/>
          <w:numId w:val="1026"/>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ro formatting for print:</w:t>
      </w:r>
    </w:p>
    <w:p>
      <w:pPr>
        <w:numPr>
          <w:ilvl w:val="0"/>
          <w:numId w:val="1027"/>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27"/>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27"/>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pStyle w:val="FirstParagraph"/>
      </w:pPr>
      <w:r>
        <w:t xml:space="preserve">At this point the document should be ready for PDF conversion.</w:t>
      </w:r>
    </w:p>
    <w:bookmarkEnd w:id="70"/>
    <w:bookmarkStart w:id="71"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71"/>
    <w:bookmarkStart w:id="72"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72"/>
    <w:bookmarkEnd w:id="73"/>
    <w:bookmarkStart w:id="74" w:name="appendix"/>
    <w:p>
      <w:pPr>
        <w:pStyle w:val="Heading1"/>
      </w:pPr>
      <w:r>
        <w:t xml:space="preserve">Appendix</w:t>
      </w:r>
    </w:p>
    <w:bookmarkEnd w:id="74"/>
    <w:bookmarkStart w:id="85" w:name="miscellaneous"/>
    <w:p>
      <w:pPr>
        <w:pStyle w:val="Heading1"/>
      </w:pPr>
      <w:r>
        <w:rPr>
          <w:rStyle w:val="SectionNumber"/>
        </w:rPr>
        <w:t xml:space="preserve">8</w:t>
      </w:r>
      <w:r>
        <w:tab/>
      </w:r>
      <w:r>
        <w:t xml:space="preserve">Miscellaneous</w:t>
      </w:r>
    </w:p>
    <w:bookmarkStart w:id="76" w:name="legal-basis"/>
    <w:p>
      <w:pPr>
        <w:pStyle w:val="Heading2"/>
      </w:pPr>
      <w:r>
        <w:rPr>
          <w:rStyle w:val="SectionNumber"/>
        </w:rPr>
        <w:t xml:space="preserve">8.1</w:t>
      </w:r>
      <w:r>
        <w:tab/>
      </w:r>
      <w:r>
        <w:t xml:space="preserve">Legal basis</w:t>
      </w:r>
    </w:p>
    <w:p>
      <w:pPr>
        <w:pStyle w:val="FirstParagraph"/>
      </w:pPr>
      <w:hyperlink r:id="rId75">
        <w:r>
          <w:rPr>
            <w:rStyle w:val="Hyperlink"/>
          </w:rPr>
          <w:t xml:space="preserve">Agriculture Act 2020</w:t>
        </w:r>
      </w:hyperlink>
    </w:p>
    <w:bookmarkEnd w:id="76"/>
    <w:bookmarkStart w:id="78" w:name="osr-feedback-on-ukfsr2021"/>
    <w:p>
      <w:pPr>
        <w:pStyle w:val="Heading2"/>
      </w:pPr>
      <w:r>
        <w:rPr>
          <w:rStyle w:val="SectionNumber"/>
        </w:rPr>
        <w:t xml:space="preserve">8.2</w:t>
      </w:r>
      <w:r>
        <w:tab/>
      </w:r>
      <w:r>
        <w:t xml:space="preserve">OSR feedback on UKFSR2021</w:t>
      </w:r>
    </w:p>
    <w:p>
      <w:pPr>
        <w:pStyle w:val="FirstParagraph"/>
      </w:pPr>
      <w:hyperlink r:id="rId77">
        <w:r>
          <w:rPr>
            <w:rStyle w:val="Hyperlink"/>
          </w:rPr>
          <w:t xml:space="preserve">Here.</w:t>
        </w:r>
      </w:hyperlink>
    </w:p>
    <w:bookmarkEnd w:id="78"/>
    <w:bookmarkStart w:id="79" w:name="publication-deadline"/>
    <w:p>
      <w:pPr>
        <w:pStyle w:val="Heading2"/>
      </w:pPr>
      <w:r>
        <w:rPr>
          <w:rStyle w:val="SectionNumber"/>
        </w:rPr>
        <w:t xml:space="preserve">8.3</w:t>
      </w:r>
      <w:r>
        <w:tab/>
      </w:r>
      <w:r>
        <w:t xml:space="preserve">Publication deadline</w:t>
      </w:r>
    </w:p>
    <w:p>
      <w:pPr>
        <w:pStyle w:val="FirstParagraph"/>
      </w:pPr>
      <w:r>
        <w:t xml:space="preserve">Insert legal guidance</w:t>
      </w:r>
    </w:p>
    <w:bookmarkEnd w:id="79"/>
    <w:bookmarkStart w:id="80" w:name="general-legal-guidance-from-2024"/>
    <w:p>
      <w:pPr>
        <w:pStyle w:val="Heading2"/>
      </w:pPr>
      <w:r>
        <w:rPr>
          <w:rStyle w:val="SectionNumber"/>
        </w:rPr>
        <w:t xml:space="preserve">8.4</w:t>
      </w:r>
      <w:r>
        <w:tab/>
      </w:r>
      <w:r>
        <w:t xml:space="preserve">General legal guidance from 2024</w:t>
      </w:r>
    </w:p>
    <w:bookmarkEnd w:id="80"/>
    <w:bookmarkStart w:id="84" w:name="publication-deadline-1"/>
    <w:p>
      <w:pPr>
        <w:pStyle w:val="Heading2"/>
      </w:pPr>
      <w:r>
        <w:rPr>
          <w:rStyle w:val="SectionNumber"/>
        </w:rPr>
        <w:t xml:space="preserve">8.5</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81" w:name="late-laying-of-the-report"/>
    <w:p>
      <w:pPr>
        <w:pStyle w:val="Heading3"/>
      </w:pPr>
      <w:r>
        <w:rPr>
          <w:rStyle w:val="SectionNumber"/>
        </w:rPr>
        <w:t xml:space="preserve">8.5.1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81"/>
    <w:bookmarkStart w:id="82" w:name="environmental-principles-policy"/>
    <w:p>
      <w:pPr>
        <w:pStyle w:val="Heading3"/>
      </w:pPr>
      <w:r>
        <w:rPr>
          <w:rStyle w:val="SectionNumber"/>
        </w:rPr>
        <w:t xml:space="preserve">8.5.2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28"/>
        </w:numPr>
        <w:pStyle w:val="Compact"/>
      </w:pPr>
      <w:r>
        <w:t xml:space="preserve">integration principle</w:t>
      </w:r>
    </w:p>
    <w:p>
      <w:pPr>
        <w:numPr>
          <w:ilvl w:val="0"/>
          <w:numId w:val="1028"/>
        </w:numPr>
        <w:pStyle w:val="Compact"/>
      </w:pPr>
      <w:r>
        <w:t xml:space="preserve">prevention principle</w:t>
      </w:r>
    </w:p>
    <w:p>
      <w:pPr>
        <w:numPr>
          <w:ilvl w:val="0"/>
          <w:numId w:val="1028"/>
        </w:numPr>
        <w:pStyle w:val="Compact"/>
      </w:pPr>
      <w:r>
        <w:t xml:space="preserve">rectification at source principle</w:t>
      </w:r>
    </w:p>
    <w:p>
      <w:pPr>
        <w:numPr>
          <w:ilvl w:val="0"/>
          <w:numId w:val="1028"/>
        </w:numPr>
        <w:pStyle w:val="Compact"/>
      </w:pPr>
      <w:r>
        <w:t xml:space="preserve">polluter pays principle</w:t>
      </w:r>
    </w:p>
    <w:p>
      <w:pPr>
        <w:numPr>
          <w:ilvl w:val="0"/>
          <w:numId w:val="1028"/>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82"/>
    <w:bookmarkStart w:id="83" w:name="general-considerations"/>
    <w:p>
      <w:pPr>
        <w:pStyle w:val="Heading3"/>
      </w:pPr>
      <w:r>
        <w:rPr>
          <w:rStyle w:val="SectionNumber"/>
        </w:rPr>
        <w:t xml:space="preserve">8.5.3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53" Target="https://github.com/Defra-Data-Science-Centre-of-Excellence/UKFSR2024" TargetMode="External" /><Relationship Type="http://schemas.openxmlformats.org/officeDocument/2006/relationships/hyperlink" Id="rId20" Target="https://github.com/FoodchainStats/ukfsr-docs" TargetMode="External" /><Relationship Type="http://schemas.openxmlformats.org/officeDocument/2006/relationships/hyperlink" Id="rId77"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75" Target="https://www.legislation.gov.uk/ukpga/2020/21/part/2/chapter/1/enacted" TargetMode="External" /><Relationship Type="http://schemas.openxmlformats.org/officeDocument/2006/relationships/hyperlink" Id="rId29" Target="https://www.sciencedirect.com/journal/health-policy" TargetMode="External" /></Relationships>
</file>

<file path=word/_rels/footnotes.xml.rels><?xml version="1.0" encoding="UTF-8"?><Relationships xmlns="http://schemas.openxmlformats.org/package/2006/relationships"><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53" Target="https://github.com/Defra-Data-Science-Centre-of-Excellence/UKFSR2024" TargetMode="External" /><Relationship Type="http://schemas.openxmlformats.org/officeDocument/2006/relationships/hyperlink" Id="rId20" Target="https://github.com/FoodchainStats/ukfsr-docs" TargetMode="External" /><Relationship Type="http://schemas.openxmlformats.org/officeDocument/2006/relationships/hyperlink" Id="rId77"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75" Target="https://www.legislation.gov.uk/ukpga/2020/21/part/2/chapter/1/enacted" TargetMode="External" /><Relationship Type="http://schemas.openxmlformats.org/officeDocument/2006/relationships/hyperlink" Id="rId29" Target="https://www.sciencedirect.com/journal/health-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2024-01-12T21:40:05Z</dcterms:created>
  <dcterms:modified xsi:type="dcterms:W3CDTF">2024-01-12T21:40:05Z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2024-01-12</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