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w:t>
      </w:r>
      <w:r>
        <w:t xml:space="preserve"> </w:t>
      </w:r>
      <w:r>
        <w:t xml:space="preserve">January</w:t>
      </w:r>
      <w:r>
        <w:t xml:space="preserve"> </w:t>
      </w:r>
      <w:r>
        <w:t xml:space="preserve">2024,</w:t>
      </w:r>
      <w:r>
        <w:t xml:space="preserve"> </w:t>
      </w:r>
      <w:r>
        <w:t xml:space="preserve">18:17</w:t>
      </w:r>
      <w:r>
        <w:t xml:space="preserve"> </w:t>
      </w:r>
      <w:r>
        <w:t xml:space="preserve">pm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49"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0" w:name="formatting-styles"/>
    <w:p>
      <w:pPr>
        <w:pStyle w:val="Heading2"/>
      </w:pPr>
      <w:r>
        <w:rPr>
          <w:rStyle w:val="SectionNumber"/>
        </w:rPr>
        <w:t xml:space="preserve">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bookmarkEnd w:id="30"/>
    <w:bookmarkStart w:id="31" w:name="spellingword-choice"/>
    <w:p>
      <w:pPr>
        <w:pStyle w:val="Heading2"/>
      </w:pPr>
      <w:r>
        <w:rPr>
          <w:rStyle w:val="SectionNumber"/>
        </w:rPr>
        <w:t xml:space="preserve">2.2</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1"/>
    <w:bookmarkStart w:id="32" w:name="sentence-length"/>
    <w:p>
      <w:pPr>
        <w:pStyle w:val="Heading2"/>
      </w:pPr>
      <w:r>
        <w:rPr>
          <w:rStyle w:val="SectionNumber"/>
        </w:rPr>
        <w:t xml:space="preserve">2.3</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2"/>
    <w:bookmarkStart w:id="36" w:name="urls"/>
    <w:p>
      <w:pPr>
        <w:pStyle w:val="Heading2"/>
      </w:pPr>
      <w:r>
        <w:rPr>
          <w:rStyle w:val="SectionNumber"/>
        </w:rPr>
        <w:t xml:space="preserve">2.4</w:t>
      </w:r>
      <w:r>
        <w:tab/>
      </w:r>
      <w:r>
        <w:t xml:space="preserve">URLs/Links</w:t>
      </w:r>
    </w:p>
    <w:p>
      <w:pPr>
        <w:pStyle w:val="FirstParagraph"/>
      </w:pPr>
      <w:r>
        <w:t xml:space="preserve">See</w:t>
      </w:r>
      <w:r>
        <w:t xml:space="preserve"> </w:t>
      </w:r>
      <w:r>
        <w:t xml:space="preserve">2.5</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3">
        <w:r>
          <w:rPr>
            <w:rStyle w:val="Hyperlink"/>
          </w:rPr>
          <w:t xml:space="preserve">CPI collection page</w:t>
        </w:r>
      </w:hyperlink>
      <w:r>
        <w:t xml:space="preserve"> </w:t>
      </w:r>
      <w:r>
        <w:t xml:space="preserve">which always shows the catalogue of recent publications, and an individual</w:t>
      </w:r>
      <w:r>
        <w:t xml:space="preserve"> </w:t>
      </w:r>
      <w:hyperlink r:id="rId34">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5">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6"/>
    <w:bookmarkStart w:id="40" w:name="refs"/>
    <w:p>
      <w:pPr>
        <w:pStyle w:val="Heading2"/>
      </w:pPr>
      <w:r>
        <w:rPr>
          <w:rStyle w:val="SectionNumber"/>
        </w:rPr>
        <w:t xml:space="preserve">2.5</w:t>
      </w:r>
      <w:r>
        <w:tab/>
      </w:r>
      <w:r>
        <w:t xml:space="preserve">References</w:t>
      </w:r>
    </w:p>
    <w:p>
      <w:pPr>
        <w:pStyle w:val="Bibliography"/>
      </w:pPr>
      <w:r>
        <w:t xml:space="preserve">See</w:t>
      </w:r>
      <w:r>
        <w:t xml:space="preserve"> </w:t>
      </w:r>
      <w:r>
        <w:t xml:space="preserve">2.4</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1" w:name="acronyms-text"/>
    <w:p>
      <w:pPr>
        <w:pStyle w:val="Heading2"/>
      </w:pPr>
      <w:r>
        <w:rPr>
          <w:rStyle w:val="SectionNumber"/>
        </w:rPr>
        <w:t xml:space="preserve">2.6</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6.5.1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1"/>
    <w:bookmarkStart w:id="42" w:name="labelling-data"/>
    <w:p>
      <w:pPr>
        <w:pStyle w:val="Heading2"/>
      </w:pPr>
      <w:r>
        <w:rPr>
          <w:rStyle w:val="SectionNumber"/>
        </w:rPr>
        <w:t xml:space="preserve">2.7</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2"/>
    <w:bookmarkStart w:id="43" w:name="indicator-section-headings"/>
    <w:p>
      <w:pPr>
        <w:pStyle w:val="Heading2"/>
      </w:pPr>
      <w:r>
        <w:rPr>
          <w:rStyle w:val="SectionNumber"/>
        </w:rPr>
        <w:t xml:space="preserve">2.8</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3"/>
    <w:bookmarkStart w:id="44" w:name="the-voice"/>
    <w:p>
      <w:pPr>
        <w:pStyle w:val="Heading2"/>
      </w:pPr>
      <w:r>
        <w:rPr>
          <w:rStyle w:val="SectionNumber"/>
        </w:rPr>
        <w:t xml:space="preserve">2.9</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4"/>
    <w:bookmarkStart w:id="45" w:name="e.g.-i.e.-etc."/>
    <w:p>
      <w:pPr>
        <w:pStyle w:val="Heading2"/>
      </w:pPr>
      <w:r>
        <w:rPr>
          <w:rStyle w:val="SectionNumber"/>
        </w:rPr>
        <w:t xml:space="preserve">2.10</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5"/>
    <w:bookmarkStart w:id="46" w:name="symbols"/>
    <w:p>
      <w:pPr>
        <w:pStyle w:val="Heading2"/>
      </w:pPr>
      <w:r>
        <w:rPr>
          <w:rStyle w:val="SectionNumber"/>
        </w:rPr>
        <w:t xml:space="preserve">2.11</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6"/>
    <w:bookmarkStart w:id="47" w:name="numbers"/>
    <w:p>
      <w:pPr>
        <w:pStyle w:val="Heading2"/>
      </w:pPr>
      <w:r>
        <w:rPr>
          <w:rStyle w:val="SectionNumber"/>
        </w:rPr>
        <w:t xml:space="preserve">2.12</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7"/>
    <w:bookmarkStart w:id="48" w:name="quotation-marks"/>
    <w:p>
      <w:pPr>
        <w:pStyle w:val="Heading2"/>
      </w:pPr>
      <w:r>
        <w:rPr>
          <w:rStyle w:val="SectionNumber"/>
        </w:rPr>
        <w:t xml:space="preserve">2.13</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48"/>
    <w:bookmarkEnd w:id="49"/>
    <w:bookmarkStart w:id="5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0">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3"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1">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2">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3"/>
    <w:bookmarkStart w:id="54" w:name="chart-context"/>
    <w:p>
      <w:pPr>
        <w:pStyle w:val="Heading2"/>
      </w:pPr>
      <w:r>
        <w:rPr>
          <w:rStyle w:val="SectionNumber"/>
        </w:rPr>
        <w:t xml:space="preserve">3.2</w:t>
      </w:r>
      <w:r>
        <w:tab/>
      </w:r>
      <w:r>
        <w:t xml:space="preserve">Chart context</w:t>
      </w:r>
    </w:p>
    <w:p>
      <w:pPr>
        <w:pStyle w:val="FirstParagraph"/>
      </w:pPr>
      <w:r>
        <w:t xml:space="preserve">Eache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kink to collection pages wherever possible.</w:t>
      </w:r>
    </w:p>
    <w:bookmarkEnd w:id="54"/>
    <w:bookmarkStart w:id="55" w:name="resolutionformat"/>
    <w:p>
      <w:pPr>
        <w:pStyle w:val="Heading2"/>
      </w:pPr>
      <w:r>
        <w:rPr>
          <w:rStyle w:val="SectionNumber"/>
        </w:rPr>
        <w:t xml:space="preserve">3.3</w:t>
      </w:r>
      <w:r>
        <w:tab/>
      </w:r>
      <w:r>
        <w:t xml:space="preserve">Resolution/format</w:t>
      </w:r>
    </w:p>
    <w:p>
      <w:pPr>
        <w:pStyle w:val="FirstParagraph"/>
      </w:pPr>
      <w:r>
        <w:t xml:space="preserve">SVG/PNG</w:t>
      </w:r>
    </w:p>
    <w:bookmarkEnd w:id="55"/>
    <w:bookmarkStart w:id="56" w:name="helpers"/>
    <w:p>
      <w:pPr>
        <w:pStyle w:val="Heading2"/>
      </w:pPr>
      <w:r>
        <w:rPr>
          <w:rStyle w:val="SectionNumber"/>
        </w:rPr>
        <w:t xml:space="preserve">3.4</w:t>
      </w:r>
      <w:r>
        <w:tab/>
      </w:r>
      <w:r>
        <w:t xml:space="preserve">Helpers</w:t>
      </w:r>
    </w:p>
    <w:p>
      <w:pPr>
        <w:pStyle w:val="FirstParagraph"/>
      </w:pPr>
      <w:r>
        <w:t xml:space="preserve">We need a</w:t>
      </w:r>
      <w:r>
        <w:t xml:space="preserve"> </w:t>
      </w:r>
      <w:r>
        <w:rPr>
          <w:rStyle w:val="VerbatimChar"/>
        </w:rPr>
        <w:t xml:space="preserve">theme_fsr</w:t>
      </w:r>
      <w:r>
        <w:t xml:space="preserve"> </w:t>
      </w:r>
      <w:r>
        <w:t xml:space="preserve">theme for chart styleing. Defaults like linewidth = 1.5</w:t>
      </w:r>
      <w:r>
        <w:t xml:space="preserve"> </w:t>
      </w:r>
      <w:r>
        <w:t xml:space="preserve">for series need to be specified. We could have an fsr package a la ggfbs but is</w:t>
      </w:r>
      <w:r>
        <w:t xml:space="preserve"> </w:t>
      </w:r>
      <w:r>
        <w:t xml:space="preserve">it sensible?</w:t>
      </w:r>
    </w:p>
    <w:bookmarkEnd w:id="56"/>
    <w:bookmarkEnd w:id="57"/>
    <w:bookmarkStart w:id="64"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58"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8"/>
    <w:bookmarkStart w:id="63"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59"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59"/>
    <w:bookmarkStart w:id="60"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0"/>
    <w:bookmarkStart w:id="61"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1"/>
    <w:bookmarkStart w:id="62"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2"/>
    <w:bookmarkEnd w:id="63"/>
    <w:bookmarkEnd w:id="64"/>
    <w:bookmarkStart w:id="70" w:name="theme-guides"/>
    <w:p>
      <w:pPr>
        <w:pStyle w:val="Heading1"/>
      </w:pPr>
      <w:r>
        <w:rPr>
          <w:rStyle w:val="SectionNumber"/>
        </w:rPr>
        <w:t xml:space="preserve">5</w:t>
      </w:r>
      <w:r>
        <w:tab/>
      </w:r>
      <w:r>
        <w:t xml:space="preserve">Theme guides</w:t>
      </w:r>
    </w:p>
    <w:bookmarkStart w:id="65" w:name="theme-1"/>
    <w:p>
      <w:pPr>
        <w:pStyle w:val="Heading2"/>
      </w:pPr>
      <w:r>
        <w:rPr>
          <w:rStyle w:val="SectionNumber"/>
        </w:rPr>
        <w:t xml:space="preserve">5.1</w:t>
      </w:r>
      <w:r>
        <w:tab/>
      </w:r>
      <w:r>
        <w:t xml:space="preserve">Theme 1</w:t>
      </w:r>
    </w:p>
    <w:bookmarkEnd w:id="65"/>
    <w:bookmarkStart w:id="66" w:name="theme-2"/>
    <w:p>
      <w:pPr>
        <w:pStyle w:val="Heading2"/>
      </w:pPr>
      <w:r>
        <w:rPr>
          <w:rStyle w:val="SectionNumber"/>
        </w:rPr>
        <w:t xml:space="preserve">5.2</w:t>
      </w:r>
      <w:r>
        <w:tab/>
      </w:r>
      <w:r>
        <w:t xml:space="preserve">Theme 2</w:t>
      </w:r>
    </w:p>
    <w:bookmarkEnd w:id="66"/>
    <w:bookmarkStart w:id="67" w:name="theme-3"/>
    <w:p>
      <w:pPr>
        <w:pStyle w:val="Heading2"/>
      </w:pPr>
      <w:r>
        <w:rPr>
          <w:rStyle w:val="SectionNumber"/>
        </w:rPr>
        <w:t xml:space="preserve">5.3</w:t>
      </w:r>
      <w:r>
        <w:tab/>
      </w:r>
      <w:r>
        <w:t xml:space="preserve">Theme 3</w:t>
      </w:r>
    </w:p>
    <w:bookmarkEnd w:id="67"/>
    <w:bookmarkStart w:id="68" w:name="theme-4"/>
    <w:p>
      <w:pPr>
        <w:pStyle w:val="Heading2"/>
      </w:pPr>
      <w:r>
        <w:rPr>
          <w:rStyle w:val="SectionNumber"/>
        </w:rPr>
        <w:t xml:space="preserve">5.4</w:t>
      </w:r>
      <w:r>
        <w:tab/>
      </w:r>
      <w:r>
        <w:t xml:space="preserve">Theme 4</w:t>
      </w:r>
    </w:p>
    <w:bookmarkEnd w:id="68"/>
    <w:bookmarkStart w:id="69" w:name="theme-5"/>
    <w:p>
      <w:pPr>
        <w:pStyle w:val="Heading2"/>
      </w:pPr>
      <w:r>
        <w:rPr>
          <w:rStyle w:val="SectionNumber"/>
        </w:rPr>
        <w:t xml:space="preserve">5.5</w:t>
      </w:r>
      <w:r>
        <w:tab/>
      </w:r>
      <w:r>
        <w:t xml:space="preserve">Theme 5</w:t>
      </w:r>
    </w:p>
    <w:bookmarkEnd w:id="69"/>
    <w:bookmarkEnd w:id="70"/>
    <w:bookmarkStart w:id="78" w:name="web"/>
    <w:p>
      <w:pPr>
        <w:pStyle w:val="Heading1"/>
      </w:pPr>
      <w:r>
        <w:rPr>
          <w:rStyle w:val="SectionNumber"/>
        </w:rPr>
        <w:t xml:space="preserve">6</w:t>
      </w:r>
      <w:r>
        <w:tab/>
      </w:r>
      <w:r>
        <w:t xml:space="preserve">Web publishing guidance</w:t>
      </w:r>
    </w:p>
    <w:bookmarkStart w:id="72"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1">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28"/>
        </w:numPr>
        <w:pStyle w:val="Compact"/>
      </w:pPr>
      <w:r>
        <w:t xml:space="preserve">web team to commandeer additional resource to cover second-eyes etc process during web print conversion</w:t>
      </w:r>
    </w:p>
    <w:bookmarkEnd w:id="72"/>
    <w:bookmarkStart w:id="73" w:name="logistics"/>
    <w:p>
      <w:pPr>
        <w:pStyle w:val="Heading2"/>
      </w:pPr>
      <w:r>
        <w:rPr>
          <w:rStyle w:val="SectionNumber"/>
        </w:rPr>
        <w:t xml:space="preserve">6.2</w:t>
      </w:r>
      <w:r>
        <w:tab/>
      </w:r>
      <w:r>
        <w:t xml:space="preserve">Logistics</w:t>
      </w:r>
    </w:p>
    <w:bookmarkEnd w:id="73"/>
    <w:bookmarkStart w:id="74"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74"/>
    <w:bookmarkStart w:id="75" w:name="graphics"/>
    <w:p>
      <w:pPr>
        <w:pStyle w:val="Heading2"/>
      </w:pPr>
      <w:r>
        <w:rPr>
          <w:rStyle w:val="SectionNumber"/>
        </w:rPr>
        <w:t xml:space="preserve">6.4</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75"/>
    <w:bookmarkStart w:id="77" w:name="other-useful-things"/>
    <w:p>
      <w:pPr>
        <w:pStyle w:val="Heading2"/>
      </w:pPr>
      <w:r>
        <w:rPr>
          <w:rStyle w:val="SectionNumber"/>
        </w:rPr>
        <w:t xml:space="preserve">6.5</w:t>
      </w:r>
      <w:r>
        <w:tab/>
      </w:r>
      <w:r>
        <w:t xml:space="preserve">Other useful things</w:t>
      </w:r>
    </w:p>
    <w:bookmarkStart w:id="76" w:name="acronyms-web"/>
    <w:p>
      <w:pPr>
        <w:pStyle w:val="Heading3"/>
      </w:pPr>
      <w:r>
        <w:rPr>
          <w:rStyle w:val="SectionNumber"/>
        </w:rPr>
        <w:t xml:space="preserve">6.5.1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2.6</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76"/>
    <w:bookmarkEnd w:id="77"/>
    <w:bookmarkEnd w:id="78"/>
    <w:bookmarkStart w:id="82"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79"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9"/>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9"/>
        </w:numPr>
        <w:pStyle w:val="Compact"/>
      </w:pPr>
      <w:r>
        <w:t xml:space="preserve">copy the final section docs into a new folder: this folder is the master print content</w:t>
      </w:r>
    </w:p>
    <w:p>
      <w:pPr>
        <w:numPr>
          <w:ilvl w:val="0"/>
          <w:numId w:val="1029"/>
        </w:numPr>
        <w:pStyle w:val="Compact"/>
      </w:pPr>
      <w:r>
        <w:t xml:space="preserve">get a copy of the Defra doc template which has a default front and back cover</w:t>
      </w:r>
    </w:p>
    <w:p>
      <w:pPr>
        <w:numPr>
          <w:ilvl w:val="0"/>
          <w:numId w:val="1029"/>
        </w:numPr>
        <w:pStyle w:val="Compact"/>
      </w:pPr>
      <w:r>
        <w:t xml:space="preserve">check and secure an ISBN/Defra document number</w:t>
      </w:r>
    </w:p>
    <w:p>
      <w:pPr>
        <w:numPr>
          <w:ilvl w:val="0"/>
          <w:numId w:val="1029"/>
        </w:numPr>
        <w:pStyle w:val="Compact"/>
      </w:pPr>
      <w:r>
        <w:t xml:space="preserve">check any standard copyright notice text</w:t>
      </w:r>
    </w:p>
    <w:p>
      <w:pPr>
        <w:numPr>
          <w:ilvl w:val="0"/>
          <w:numId w:val="1029"/>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0"/>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0"/>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0"/>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0"/>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79"/>
    <w:bookmarkStart w:id="80"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0"/>
    <w:bookmarkStart w:id="81"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81"/>
    <w:bookmarkEnd w:id="82"/>
    <w:bookmarkStart w:id="83" w:name="appendix"/>
    <w:p>
      <w:pPr>
        <w:pStyle w:val="Heading1"/>
      </w:pPr>
      <w:r>
        <w:t xml:space="preserve">Appendix</w:t>
      </w:r>
    </w:p>
    <w:bookmarkEnd w:id="83"/>
    <w:bookmarkStart w:id="93" w:name="miscellaneous"/>
    <w:p>
      <w:pPr>
        <w:pStyle w:val="Heading1"/>
      </w:pPr>
      <w:r>
        <w:rPr>
          <w:rStyle w:val="SectionNumber"/>
        </w:rPr>
        <w:t xml:space="preserve">8</w:t>
      </w:r>
      <w:r>
        <w:tab/>
      </w:r>
      <w:r>
        <w:t xml:space="preserve">Miscellaneous</w:t>
      </w:r>
    </w:p>
    <w:bookmarkStart w:id="85" w:name="legal-basis"/>
    <w:p>
      <w:pPr>
        <w:pStyle w:val="Heading2"/>
      </w:pPr>
      <w:r>
        <w:rPr>
          <w:rStyle w:val="SectionNumber"/>
        </w:rPr>
        <w:t xml:space="preserve">8.1</w:t>
      </w:r>
      <w:r>
        <w:tab/>
      </w:r>
      <w:r>
        <w:t xml:space="preserve">Legal basis</w:t>
      </w:r>
    </w:p>
    <w:p>
      <w:pPr>
        <w:pStyle w:val="FirstParagraph"/>
      </w:pPr>
      <w:hyperlink r:id="rId84">
        <w:r>
          <w:rPr>
            <w:rStyle w:val="Hyperlink"/>
          </w:rPr>
          <w:t xml:space="preserve">Agriculture Act 2020</w:t>
        </w:r>
      </w:hyperlink>
    </w:p>
    <w:bookmarkEnd w:id="85"/>
    <w:bookmarkStart w:id="87" w:name="osr-feedback-on-ukfsr2021"/>
    <w:p>
      <w:pPr>
        <w:pStyle w:val="Heading2"/>
      </w:pPr>
      <w:r>
        <w:rPr>
          <w:rStyle w:val="SectionNumber"/>
        </w:rPr>
        <w:t xml:space="preserve">8.2</w:t>
      </w:r>
      <w:r>
        <w:tab/>
      </w:r>
      <w:r>
        <w:t xml:space="preserve">OSR feedback on UKFSR2021</w:t>
      </w:r>
    </w:p>
    <w:p>
      <w:pPr>
        <w:pStyle w:val="FirstParagraph"/>
      </w:pPr>
      <w:hyperlink r:id="rId86">
        <w:r>
          <w:rPr>
            <w:rStyle w:val="Hyperlink"/>
          </w:rPr>
          <w:t xml:space="preserve">Here.</w:t>
        </w:r>
      </w:hyperlink>
    </w:p>
    <w:bookmarkEnd w:id="87"/>
    <w:bookmarkStart w:id="88" w:name="general-legal-guidance-from-2024"/>
    <w:p>
      <w:pPr>
        <w:pStyle w:val="Heading2"/>
      </w:pPr>
      <w:r>
        <w:rPr>
          <w:rStyle w:val="SectionNumber"/>
        </w:rPr>
        <w:t xml:space="preserve">8.3</w:t>
      </w:r>
      <w:r>
        <w:tab/>
      </w:r>
      <w:r>
        <w:t xml:space="preserve">General legal guidance from 2024</w:t>
      </w:r>
    </w:p>
    <w:bookmarkEnd w:id="88"/>
    <w:bookmarkStart w:id="92" w:name="publication-deadline"/>
    <w:p>
      <w:pPr>
        <w:pStyle w:val="Heading2"/>
      </w:pPr>
      <w:r>
        <w:rPr>
          <w:rStyle w:val="SectionNumber"/>
        </w:rPr>
        <w:t xml:space="preserve">8.4</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89" w:name="late-laying-of-the-report"/>
    <w:p>
      <w:pPr>
        <w:pStyle w:val="Heading3"/>
      </w:pPr>
      <w:r>
        <w:rPr>
          <w:rStyle w:val="SectionNumber"/>
        </w:rPr>
        <w:t xml:space="preserve">8.4.1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89"/>
    <w:bookmarkStart w:id="90"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1"/>
        </w:numPr>
        <w:pStyle w:val="Compact"/>
      </w:pPr>
      <w:r>
        <w:t xml:space="preserve">integration principle</w:t>
      </w:r>
    </w:p>
    <w:p>
      <w:pPr>
        <w:numPr>
          <w:ilvl w:val="0"/>
          <w:numId w:val="1031"/>
        </w:numPr>
        <w:pStyle w:val="Compact"/>
      </w:pPr>
      <w:r>
        <w:t xml:space="preserve">prevention principle</w:t>
      </w:r>
    </w:p>
    <w:p>
      <w:pPr>
        <w:numPr>
          <w:ilvl w:val="0"/>
          <w:numId w:val="1031"/>
        </w:numPr>
        <w:pStyle w:val="Compact"/>
      </w:pPr>
      <w:r>
        <w:t xml:space="preserve">rectification at source principle</w:t>
      </w:r>
    </w:p>
    <w:p>
      <w:pPr>
        <w:numPr>
          <w:ilvl w:val="0"/>
          <w:numId w:val="1031"/>
        </w:numPr>
        <w:pStyle w:val="Compact"/>
      </w:pPr>
      <w:r>
        <w:t xml:space="preserve">polluter pays principle</w:t>
      </w:r>
    </w:p>
    <w:p>
      <w:pPr>
        <w:numPr>
          <w:ilvl w:val="0"/>
          <w:numId w:val="1031"/>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0"/>
    <w:bookmarkStart w:id="91"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1" Target="https://govspeak-preview.publishing.service.gov.uk/guide" TargetMode="External" /><Relationship Type="http://schemas.openxmlformats.org/officeDocument/2006/relationships/hyperlink" Id="rId86"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29" Target="https://www.gov.uk/guidance/style-guide" TargetMode="External" /><Relationship Type="http://schemas.openxmlformats.org/officeDocument/2006/relationships/hyperlink" Id="rId8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1" Target="https://govspeak-preview.publishing.service.gov.uk/guide" TargetMode="External" /><Relationship Type="http://schemas.openxmlformats.org/officeDocument/2006/relationships/hyperlink" Id="rId86"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29" Target="https://www.gov.uk/guidance/style-guide" TargetMode="External" /><Relationship Type="http://schemas.openxmlformats.org/officeDocument/2006/relationships/hyperlink" Id="rId8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2024-01-20T18:17:53Z</dcterms:created>
  <dcterms:modified xsi:type="dcterms:W3CDTF">2024-01-20T18:17:53Z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 January 2024, 18:17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