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4E79"/>
          <w:sz w:val="36"/>
        </w:rPr>
        <w:t>CHAPTER FIVE</w:t>
        <w:br/>
        <w:t>SUMMARY, CONCLUSION AND RECOMMENDATIONS</w:t>
      </w:r>
    </w:p>
    <w:p>
      <w:pPr>
        <w:spacing w:after="480"/>
        <w:jc w:val="center"/>
      </w:pPr>
      <w:r>
        <w:rPr>
          <w:rFonts w:ascii="Calibri" w:hAnsi="Calibri"/>
          <w:i/>
          <w:color w:val="595959"/>
          <w:sz w:val="22"/>
        </w:rPr>
        <w:t>Final Year Project: Malaria Burden Predictive and Explainable System (STAR-EBM Architecture)</w:t>
      </w:r>
    </w:p>
    <w:p>
      <w:pPr>
        <w:spacing w:before="280" w:after="120"/>
      </w:pPr>
      <w:r>
        <w:rPr>
          <w:rFonts w:ascii="Calibri" w:hAnsi="Calibri"/>
          <w:b/>
          <w:color w:val="1F4E79"/>
          <w:sz w:val="28"/>
        </w:rPr>
        <w:t>5.0 Summary of the Study</w:t>
      </w:r>
    </w:p>
    <w:p>
      <w:pPr>
        <w:spacing w:line="276" w:lineRule="auto" w:after="160"/>
      </w:pPr>
      <w:r>
        <w:rPr>
          <w:rFonts w:ascii="Calibri" w:hAnsi="Calibri"/>
          <w:sz w:val="22"/>
        </w:rPr>
        <w:t>Malaria remains one of the most debilitating public health and socio-economic challenges in tropical developing nations, imposing severe health shocks, catastrophic out-of-pocket medical expenses, and substantial labor productivity losses across vulnerable households. In sub-Saharan Africa, and specifically within endemic rural and peri-urban communities such as Mkpat Enin Local Government Area (LGA) of Akwa Ibom State, Nigeria, the disease traps low-income families in persistent cycles of poverty. Public health decision-makers, epidemiologists, and primary healthcare workers urgently require prompt, evidence-based clinical decision support tools capable of stratifying malaria burden at the micro-level of individual households. However, traditional disease monitoring systems predominantly rely on aggregated, retrospective facility records that overlook localized household socio-economic heterogeneity. Furthermore, existing predictive modeling tools frequently employ rigid parametric assumptions that fail to capture complex nonlinear dependencies, or deploy opaque machine learning algorithms that operate as incomprehensible 'black boxes,' hindering their clinical adoption and policy utility.</w:t>
      </w:r>
    </w:p>
    <w:p>
      <w:pPr>
        <w:spacing w:line="276" w:lineRule="auto" w:after="160"/>
      </w:pPr>
      <w:r>
        <w:rPr>
          <w:rFonts w:ascii="Calibri" w:hAnsi="Calibri"/>
          <w:sz w:val="22"/>
        </w:rPr>
        <w:t>To resolve these operational and methodological deficiencies, this research designed, developed, and empirically validated a robust dual-tier predictive and explainable intelligence system tailored for household malaria burden assessment. The predictive engine leverages a Structured Additive Regression (STAR) framework to model complex nonlinear relationships between multidimensional predictors and malaria vulnerability. Crucially, to bridge the divide between advanced statistical modeling and field-level clinical interpretability, the study introduced an Explainable Boosting Machine (EBM) glassbox surrogate architecture. The EBM decomposes complex predictive predictions into an exact, additive mathematical sum of univariate functions: g(μ) = β₀ + Σ f_j(x_j), providing transparent, individual-level risk factor attributions.</w:t>
      </w:r>
    </w:p>
    <w:p>
      <w:pPr>
        <w:spacing w:line="276" w:lineRule="auto" w:after="160"/>
      </w:pPr>
      <w:r>
        <w:rPr>
          <w:rFonts w:ascii="Calibri" w:hAnsi="Calibri"/>
          <w:sz w:val="22"/>
        </w:rPr>
        <w:t>The system was rigorously trained, calibrated, and evaluated using comprehensive household survey data collected across Mkpat Enin LGA, incorporating twenty features spanning socio-demographic indicators, bed net prevention compliance, treatment-seeking behaviors, environmental sanitation infrastructure, and direct economic costs. Empirical validation established that the primary STAR model achieved an outstanding predictive precision with a coefficient of determination (R²) of 91.52%, a classification accuracy of 99.55%, and an out-of-sample Symmetric Mean Absolute Percentage Error (SMAPE) of 10.76%. Concurrently, the EBM glassbox surrogate achieved an R² of 89.07%, a classification accuracy of 99.38%, a precision of 100.00%, a sensitivity (recall) of 98.76%, a specificity of 100.00%, an F1-score of 99.38%, and an Area Under the ROC Curve (ROC-AUC) of 99.99%. Furthermore, the EBM established a surrogate fidelity R² of 98.02% and a decision concordance rate of 99.72% relative to the STAR model, confirming that complete glassbox interpretability was achieved without sacrificing predictive power. The framework was fully operationalized through an interactive Streamlit web application featuring live GPS Leaflet mapping, nearest-household spatial matching, and automated form validation.</w:t>
      </w:r>
    </w:p>
    <w:p>
      <w:pPr>
        <w:spacing w:before="280" w:after="120"/>
      </w:pPr>
      <w:r>
        <w:rPr>
          <w:rFonts w:ascii="Calibri" w:hAnsi="Calibri"/>
          <w:b/>
          <w:color w:val="1F4E79"/>
          <w:sz w:val="28"/>
        </w:rPr>
        <w:t>5.1 Conclusion</w:t>
      </w:r>
    </w:p>
    <w:p>
      <w:pPr>
        <w:spacing w:line="276" w:lineRule="auto" w:after="160"/>
      </w:pPr>
      <w:r>
        <w:rPr>
          <w:rFonts w:ascii="Calibri" w:hAnsi="Calibri"/>
          <w:sz w:val="22"/>
        </w:rPr>
        <w:t>This research has demonstrated that combining Structured Additive Regression (STAR) with an Explainable Boosting Machine (EBM) provides an exceptionally accurate, mathematically robust, and clinically interpretable framework for predicting and explaining household malaria burden in Mkpat Enin LGA, Akwa Ibom State. By integrating spatial coordinates, household demographics, therapeutic behaviors, sanitation standards, and direct healthcare expenditures into a unified Generalized Additive Model (GAM) pipeline, the system successfully overcomes the critical drawbacks of classical statistical techniques such as Multiple Linear Regression (MLR) and conventional binary logistic classifiers.</w:t>
      </w:r>
    </w:p>
    <w:p>
      <w:pPr>
        <w:spacing w:line="276" w:lineRule="auto" w:after="160"/>
      </w:pPr>
      <w:r>
        <w:rPr>
          <w:rFonts w:ascii="Calibri" w:hAnsi="Calibri"/>
          <w:sz w:val="22"/>
        </w:rPr>
        <w:t>The empirical findings confirm that the system possesses superior sensitivity in differentiating between households experiencing severe malaria burden (risk &gt; 50.0%) and those maintaining controlled risk (risk ≤ 50.0%). Feature attribution analysis through the EBM glassbox established that the primary drivers amplifying malaria risk are the frequency of malaria episodes in the preceding six weeks, reliance on untreated or damaged bed nets, access to untreated domestic drinking water, and diagnostic non-compliance in children. Conversely, consistent use of Long-Lasting Insecticidal Nets (LLINs), prompt antimalarial chemotherapy (ACT), formal educational attainment, and stable salary employment by the household head act as potent protective buffers, consistently displacing household burden scores below the population baseline intercept (β₀ ≈ 0.4442).</w:t>
      </w:r>
    </w:p>
    <w:p>
      <w:pPr>
        <w:spacing w:line="276" w:lineRule="auto" w:after="160"/>
      </w:pPr>
      <w:r>
        <w:rPr>
          <w:rFonts w:ascii="Calibri" w:hAnsi="Calibri"/>
          <w:sz w:val="22"/>
        </w:rPr>
        <w:t>Crucially, the successful incorporation of the Explainable Boosting Machine proves that academic machine learning models can be translated into frontline clinical and administrative assets without the opacity typical of modern AI. Delivered via an intuitive Streamlit web interface, the system democratizes access to advanced epidemiological intelligence, enabling health officers, local government administrators, and community health extension workers to rapidly evaluate individual households, visualize nearby transmission clusters on live Leaflet GIS maps, and formulate targeted, life-saving preventative interventions.</w:t>
      </w:r>
    </w:p>
    <w:p>
      <w:pPr>
        <w:spacing w:before="280" w:after="120"/>
      </w:pPr>
      <w:r>
        <w:rPr>
          <w:rFonts w:ascii="Calibri" w:hAnsi="Calibri"/>
          <w:b/>
          <w:color w:val="1F4E79"/>
          <w:sz w:val="28"/>
        </w:rPr>
        <w:t>5.2 Contributions to Knowledge</w:t>
      </w:r>
    </w:p>
    <w:p>
      <w:pPr>
        <w:spacing w:line="276" w:lineRule="auto" w:after="160"/>
      </w:pPr>
      <w:r>
        <w:rPr>
          <w:rFonts w:ascii="Calibri" w:hAnsi="Calibri"/>
          <w:sz w:val="22"/>
        </w:rPr>
        <w:t>This research makes significant theoretical, algorithmic, methodological, and practical contributions to the fields of health informatics, epidemiological modeling, and interpretable machine learning:</w:t>
      </w:r>
    </w:p>
    <w:p>
      <w:pPr>
        <w:pStyle w:val="ListBullet"/>
        <w:spacing w:line="276" w:lineRule="auto" w:after="80"/>
      </w:pPr>
      <w:r>
        <w:rPr>
          <w:rFonts w:ascii="Calibri" w:hAnsi="Calibri"/>
          <w:b/>
          <w:color w:val="1F4E79"/>
          <w:sz w:val="22"/>
        </w:rPr>
        <w:t xml:space="preserve">Formulation of a Dual-Tier Predictive-Explainable (STAR-EBM) Architecture for Malaria Informatics: </w:t>
      </w:r>
      <w:r>
        <w:rPr>
          <w:rFonts w:ascii="Calibri" w:hAnsi="Calibri"/>
          <w:sz w:val="22"/>
        </w:rPr>
        <w:t>A major theoretical contribution of this work is the conceptualization and formulation of a dual-tier framework that pairs a high-capacity Structured Additive Regression (STAR) predictive model with a post-hoc Explainable Boosting Machine (EBM) surrogate. Existing malaria modeling literature is characterized by a stark trade-off: researchers must choose between interpretable but simplistic linear models or highly accurate but uninterpretable black-box ensembles (Random Forests, XGBoost, Deep Neural Networks). This study bridges that gap, demonstrating that univariate cyclic coordinate gradient boosted trees can faithfully approximate complex spline regression surfaces with zero loss of clinical transparency.</w:t>
      </w:r>
    </w:p>
    <w:p>
      <w:pPr>
        <w:pStyle w:val="ListBullet"/>
        <w:spacing w:line="276" w:lineRule="auto" w:after="80"/>
      </w:pPr>
      <w:r>
        <w:rPr>
          <w:rFonts w:ascii="Calibri" w:hAnsi="Calibri"/>
          <w:b/>
          <w:color w:val="1F4E79"/>
          <w:sz w:val="22"/>
        </w:rPr>
        <w:t xml:space="preserve">Glassbox Additive Decomposition of Household Malaria Risk: </w:t>
      </w:r>
      <w:r>
        <w:rPr>
          <w:rFonts w:ascii="Calibri" w:hAnsi="Calibri"/>
          <w:sz w:val="22"/>
        </w:rPr>
        <w:t>The study pioneers the deployment of the Explainable Boosting Machine in sub-Saharan malaria research to unpack household vulnerability into an exact, additive mathematical identity: g(μ) = β₀ + Σ f_j(x_j). Unlike post-hoc attribution methods such as SHAP or LIME that provide noisy, computationally expensive local approximations, the EBM computes exact, closed-form additive terms for each feature. This enables frontline healthcare practitioners to inspect the exact numerical displacement (in percentage points) that any specific attribute—such as untreated drinking water or lack of bed nets—exerts on a household's overall disease burden.</w:t>
      </w:r>
    </w:p>
    <w:p>
      <w:pPr>
        <w:pStyle w:val="ListBullet"/>
        <w:spacing w:line="276" w:lineRule="auto" w:after="80"/>
      </w:pPr>
      <w:r>
        <w:rPr>
          <w:rFonts w:ascii="Calibri" w:hAnsi="Calibri"/>
          <w:b/>
          <w:color w:val="1F4E79"/>
          <w:sz w:val="22"/>
        </w:rPr>
        <w:t xml:space="preserve">Demonstration of High-Fidelity Surrogate Conformance in Disease Modeling: </w:t>
      </w:r>
      <w:r>
        <w:rPr>
          <w:rFonts w:ascii="Calibri" w:hAnsi="Calibri"/>
          <w:sz w:val="22"/>
        </w:rPr>
        <w:t>The research rigorously validates that an EBM surrogate can achieve near-perfect fidelity to a primary spline model, recording a surrogate fidelity R² of 98.02%, a decision concordance rate of 99.72%, an RMSE of 0.0379, and a zero-mean Gaussian residual distribution (mean = 0.0000). This methodological contribution establishes an authoritative benchmark for future research seeking to deploy glassbox surrogates over complex health models.</w:t>
      </w:r>
    </w:p>
    <w:p>
      <w:pPr>
        <w:pStyle w:val="ListBullet"/>
        <w:spacing w:line="276" w:lineRule="auto" w:after="80"/>
      </w:pPr>
      <w:r>
        <w:rPr>
          <w:rFonts w:ascii="Calibri" w:hAnsi="Calibri"/>
          <w:b/>
          <w:color w:val="1F4E79"/>
          <w:sz w:val="22"/>
        </w:rPr>
        <w:t xml:space="preserve">Construction of a Micro-Level Multi-Attribute Household Dataset for Mkpat Enin LGA: </w:t>
      </w:r>
      <w:r>
        <w:rPr>
          <w:rFonts w:ascii="Calibri" w:hAnsi="Calibri"/>
          <w:sz w:val="22"/>
        </w:rPr>
        <w:t>The study resolved historical data fragmentation in Mkpat Enin LGA by compiling, cleaning, encoding, and validating an authoritative 20-feature empirical household survey dataset. Spanning socio-demographics, treatment behaviors, environmental sanitation, and out-of-pocket health costs, this longitudinal baseline dataset provides an empirical foundation for future micro-epidemiological research in Akwa Ibom State.</w:t>
      </w:r>
    </w:p>
    <w:p>
      <w:pPr>
        <w:pStyle w:val="ListBullet"/>
        <w:spacing w:line="276" w:lineRule="auto" w:after="80"/>
      </w:pPr>
      <w:r>
        <w:rPr>
          <w:rFonts w:ascii="Calibri" w:hAnsi="Calibri"/>
          <w:b/>
          <w:color w:val="1F4E79"/>
          <w:sz w:val="22"/>
        </w:rPr>
        <w:t xml:space="preserve">Operationalization of an Open-Source Decision Support System with Real-Time GIS: </w:t>
      </w:r>
      <w:r>
        <w:rPr>
          <w:rFonts w:ascii="Calibri" w:hAnsi="Calibri"/>
          <w:sz w:val="22"/>
        </w:rPr>
        <w:t>At the practical level, the research developed and deployed a fully operational, open-source decision intelligence web portal using Python, Streamlit, Leaflet.js, and Scikit-Learn. The platform features real-time HTML5 geolocation tracking, interactive cartographic matching of nearest surveyed households within a 100km radius, dynamic what-if simulation, and instantaneous tabular EBM explainability, providing a turnkey, zero-license-cost decision support tool for public health agencies.</w:t>
      </w:r>
    </w:p>
    <w:p>
      <w:pPr>
        <w:spacing w:before="280" w:after="120"/>
      </w:pPr>
      <w:r>
        <w:rPr>
          <w:rFonts w:ascii="Calibri" w:hAnsi="Calibri"/>
          <w:b/>
          <w:color w:val="1F4E79"/>
          <w:sz w:val="28"/>
        </w:rPr>
        <w:t>5.3 Recommendations</w:t>
      </w:r>
    </w:p>
    <w:p>
      <w:pPr>
        <w:spacing w:line="276" w:lineRule="auto" w:after="160"/>
      </w:pPr>
      <w:r>
        <w:rPr>
          <w:rFonts w:ascii="Calibri" w:hAnsi="Calibri"/>
          <w:sz w:val="22"/>
        </w:rPr>
        <w:t>Based on the empirical findings, mathematical modeling, and operational insights derived from this study, the following policy, clinical, and administrative recommendations are proposed for the Akwa Ibom State Ministry of Health, the Akwa Ibom State Primary Healthcare Development Agency (AKSPHCDA), the Mkpat Enin Local Government Health Authority, and non-governmental health organizations:</w:t>
      </w:r>
    </w:p>
    <w:p>
      <w:pPr>
        <w:pStyle w:val="ListBullet"/>
        <w:spacing w:line="276" w:lineRule="auto" w:after="80"/>
      </w:pPr>
      <w:r>
        <w:rPr>
          <w:rFonts w:ascii="Calibri" w:hAnsi="Calibri"/>
          <w:b/>
          <w:color w:val="1F4E79"/>
          <w:sz w:val="22"/>
        </w:rPr>
        <w:t xml:space="preserve">Institutionalization of EBM-Driven Micro-Stratification in Primary Healthcare Centers: </w:t>
      </w:r>
      <w:r>
        <w:rPr>
          <w:rFonts w:ascii="Calibri" w:hAnsi="Calibri"/>
          <w:sz w:val="22"/>
        </w:rPr>
        <w:t>The Akwa Ibom State Ministry of Health should integrate the developed STAR-EBM predictive tool into the standard clinical workflow of primary healthcare centers (PHCs) across Mkpat Enin LGA. Frontline Community Health Extension Workers (CHEWs) should utilize the tool during routine outpatient intakes and community outreach to calculate individual household vulnerability scores and review the EBM top risk drivers, enabling prioritized allocation of Long-Lasting Insecticidal Nets (LLINs) and targeted Indoor Residual Spraying (IRS) to the most vulnerable households.</w:t>
      </w:r>
    </w:p>
    <w:p>
      <w:pPr>
        <w:pStyle w:val="ListBullet"/>
        <w:spacing w:line="276" w:lineRule="auto" w:after="80"/>
      </w:pPr>
      <w:r>
        <w:rPr>
          <w:rFonts w:ascii="Calibri" w:hAnsi="Calibri"/>
          <w:b/>
          <w:color w:val="1F4E79"/>
          <w:sz w:val="22"/>
        </w:rPr>
        <w:t xml:space="preserve">Integration of the Decision Intelligence Portal into National Disease Surveillance Systems: </w:t>
      </w:r>
      <w:r>
        <w:rPr>
          <w:rFonts w:ascii="Calibri" w:hAnsi="Calibri"/>
          <w:sz w:val="22"/>
        </w:rPr>
        <w:t>State epidemiologists and health planners should connect the Streamlit application's geospatial database with national health data repositories, such as the District Health Information System 2 (DHIS2) and the National Malaria Elimination Programme (NMEP). Synchronizing household-level predictive telemetry with routine clinical facility logs will enhance micro-planning, facilitate real-time outbreak detection, and enable rapid containment of transmission surges across wards.</w:t>
      </w:r>
    </w:p>
    <w:p>
      <w:pPr>
        <w:pStyle w:val="ListBullet"/>
        <w:spacing w:line="276" w:lineRule="auto" w:after="80"/>
      </w:pPr>
      <w:r>
        <w:rPr>
          <w:rFonts w:ascii="Calibri" w:hAnsi="Calibri"/>
          <w:b/>
          <w:color w:val="1F4E79"/>
          <w:sz w:val="22"/>
        </w:rPr>
        <w:t xml:space="preserve">Targeted Multi-Sectoral Environmental Sanitation and Potable Water Provision: </w:t>
      </w:r>
      <w:r>
        <w:rPr>
          <w:rFonts w:ascii="Calibri" w:hAnsi="Calibri"/>
          <w:sz w:val="22"/>
        </w:rPr>
        <w:t>The EBM feature importance ranking identified access to untreated domestic drinking water and poor toilet sanitation as major positive drivers of malaria burden. The Akwa Ibom State Government, in collaboration with the Rural Water Supply and Sanitation Agency (AKRUWATSAN), should prioritize the installation of solar-powered motorized potable water boreholes and modern sanitation infrastructure in rural communities of Mkpat Enin, addressing the environmental determinants of vector breeding and household vulnerability.</w:t>
      </w:r>
    </w:p>
    <w:p>
      <w:pPr>
        <w:pStyle w:val="ListBullet"/>
        <w:spacing w:line="276" w:lineRule="auto" w:after="80"/>
      </w:pPr>
      <w:r>
        <w:rPr>
          <w:rFonts w:ascii="Calibri" w:hAnsi="Calibri"/>
          <w:b/>
          <w:color w:val="1F4E79"/>
          <w:sz w:val="22"/>
        </w:rPr>
        <w:t xml:space="preserve">Implementation of Targeted Out-of-Pocket Medical Subsidies: </w:t>
      </w:r>
      <w:r>
        <w:rPr>
          <w:rFonts w:ascii="Calibri" w:hAnsi="Calibri"/>
          <w:sz w:val="22"/>
        </w:rPr>
        <w:t>Given the strong statistical association between high treatment expenditures and recurring disease burden, the state government should expand the Akwa Ibom State Health Insurance Scheme (AKSHIS) to cover indigent rural households in Mkpat Enin LGA. Providing subsidized or free Artemisinin-based Combination Therapies (ACTs) and rapid diagnostic tests (RDTs) will eliminate financial barriers to prompt healthcare-seeking behavior, curtailing reliance on informal, ineffective treatment methods.</w:t>
      </w:r>
    </w:p>
    <w:p>
      <w:pPr>
        <w:spacing w:before="280" w:after="120"/>
      </w:pPr>
      <w:r>
        <w:rPr>
          <w:rFonts w:ascii="Calibri" w:hAnsi="Calibri"/>
          <w:b/>
          <w:color w:val="1F4E79"/>
          <w:sz w:val="28"/>
        </w:rPr>
        <w:t>5.4 Suggestions for Future Work</w:t>
      </w:r>
    </w:p>
    <w:p>
      <w:pPr>
        <w:spacing w:line="276" w:lineRule="auto" w:after="160"/>
      </w:pPr>
      <w:r>
        <w:rPr>
          <w:rFonts w:ascii="Calibri" w:hAnsi="Calibri"/>
          <w:sz w:val="22"/>
        </w:rPr>
        <w:t>While the developed STAR-EBM framework demonstrates exceptional predictive accuracy and explanatory power, the following areas are proposed for future academic and technical extension:</w:t>
      </w:r>
    </w:p>
    <w:p>
      <w:pPr>
        <w:pStyle w:val="ListBullet"/>
        <w:spacing w:line="276" w:lineRule="auto" w:after="80"/>
      </w:pPr>
      <w:r>
        <w:rPr>
          <w:rFonts w:ascii="Calibri" w:hAnsi="Calibri"/>
          <w:b/>
          <w:color w:val="1F4E79"/>
          <w:sz w:val="22"/>
        </w:rPr>
        <w:t xml:space="preserve">Geographic and Cross-Ecological Expansion Across Akwa Ibom State and the Niger Delta: </w:t>
      </w:r>
      <w:r>
        <w:rPr>
          <w:rFonts w:ascii="Calibri" w:hAnsi="Calibri"/>
          <w:sz w:val="22"/>
        </w:rPr>
        <w:t>Future research should extend data collection and model calibration beyond Mkpat Enin LGA to encompass diverse ecological zones across Akwa Ibom State—such as coastal riverine communities (Ibeno, Eastern Obolo, Mbo), dense commercial urban centers (Uyo, Eket, Ikot Ekpene), and agricultural forest belts (Ibiono Ibom). Testing the architecture on varied microclimates will assess cross-ecological transferability and establish a state-wide predictive baseline.</w:t>
      </w:r>
    </w:p>
    <w:p>
      <w:pPr>
        <w:pStyle w:val="ListBullet"/>
        <w:spacing w:line="276" w:lineRule="auto" w:after="80"/>
      </w:pPr>
      <w:r>
        <w:rPr>
          <w:rFonts w:ascii="Calibri" w:hAnsi="Calibri"/>
          <w:b/>
          <w:color w:val="1F4E79"/>
          <w:sz w:val="22"/>
        </w:rPr>
        <w:t xml:space="preserve">Coupling Real-Time Remote Sensing and Climatic Telemetry with EBM Pipelines: </w:t>
      </w:r>
      <w:r>
        <w:rPr>
          <w:rFonts w:ascii="Calibri" w:hAnsi="Calibri"/>
          <w:sz w:val="22"/>
        </w:rPr>
        <w:t>Subsequent iterations of the forecasting engine should interface dynamically with satellite remote sensing feeds (e.g., Google Earth Engine, MODIS, Copernicus Sentinel) to ingest high-frequency environmental covariates, including Normalized Difference Vegetation Index (NDVI), land surface temperature, and daily precipitation anomalies. Integrating dynamic climatic covariates directly into EBM univariate shape functions will enhance seasonal forecasting accuracy during monsoon peaks.</w:t>
      </w:r>
    </w:p>
    <w:p>
      <w:pPr>
        <w:pStyle w:val="ListBullet"/>
        <w:spacing w:line="276" w:lineRule="auto" w:after="80"/>
      </w:pPr>
      <w:r>
        <w:rPr>
          <w:rFonts w:ascii="Calibri" w:hAnsi="Calibri"/>
          <w:b/>
          <w:color w:val="1F4E79"/>
          <w:sz w:val="22"/>
        </w:rPr>
        <w:t xml:space="preserve">Comparative Algorithmic Benchmarking with Deep Additive and Bayesian Networks: </w:t>
      </w:r>
      <w:r>
        <w:rPr>
          <w:rFonts w:ascii="Calibri" w:hAnsi="Calibri"/>
          <w:sz w:val="22"/>
        </w:rPr>
        <w:t>Future studies should benchmark the STAR-EBM framework against emerging interpretable machine learning paradigms, such as Neural Additive Models (NAMs), TabNet, and Bayesian Additive Regression Trees (BART). This will facilitate rigorous empirical comparisons of computational efficiency, parameter tuning complexity, and epistemic uncertainty quantification in epidemiological settings.</w:t>
      </w:r>
    </w:p>
    <w:p>
      <w:pPr>
        <w:pStyle w:val="ListBullet"/>
        <w:spacing w:line="276" w:lineRule="auto" w:after="80"/>
      </w:pPr>
      <w:r>
        <w:rPr>
          <w:rFonts w:ascii="Calibri" w:hAnsi="Calibri"/>
          <w:b/>
          <w:color w:val="1F4E79"/>
          <w:sz w:val="22"/>
        </w:rPr>
        <w:t xml:space="preserve">Algorithmic Fairness and Subgroup Vulnerability Auditing: </w:t>
      </w:r>
      <w:r>
        <w:rPr>
          <w:rFonts w:ascii="Calibri" w:hAnsi="Calibri"/>
          <w:sz w:val="22"/>
        </w:rPr>
        <w:t>To ensure health equity, subsequent research must conduct formal algorithmic fairness audits across socio-economically marginalized subpopulations. Evaluating prediction error rates and feature attributions across female-headed households, impoverished agrarian families, and isolated riverine settlements will identify potential demographic disparities and guarantee that predictive resource allocations remain ethically grounded and equitable.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