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4E79"/>
          <w:sz w:val="36"/>
        </w:rPr>
        <w:t>CHAPTER FOUR</w:t>
        <w:br/>
        <w:t>SYSTEM EVALUATION AND RESULT ANALYSIS</w:t>
      </w:r>
    </w:p>
    <w:p>
      <w:pPr>
        <w:spacing w:after="400"/>
        <w:jc w:val="center"/>
      </w:pPr>
      <w:r>
        <w:rPr>
          <w:rFonts w:ascii="Calibri" w:hAnsi="Calibri"/>
          <w:i/>
          <w:color w:val="595959"/>
          <w:sz w:val="22"/>
        </w:rPr>
        <w:t>Comprehensive Performance Parameters and Glassbox Explainable Boosting Machine (EBM) Evaluation</w:t>
      </w:r>
    </w:p>
    <w:p>
      <w:pPr>
        <w:spacing w:before="160" w:after="120"/>
      </w:pPr>
      <w:r>
        <w:rPr>
          <w:rFonts w:ascii="Calibri" w:hAnsi="Calibri"/>
          <w:b/>
          <w:color w:val="1F4E79"/>
          <w:sz w:val="30"/>
        </w:rPr>
        <w:t>4.5 Result Analysis</w:t>
      </w:r>
    </w:p>
    <w:p>
      <w:pPr>
        <w:spacing w:line="276" w:lineRule="auto" w:after="200"/>
      </w:pPr>
      <w:r>
        <w:rPr>
          <w:rFonts w:ascii="Calibri" w:hAnsi="Calibri"/>
        </w:rPr>
        <w:t>This section presents a rigorous empirical analysis of the predictive and explanatory performance of the developed Malaria Burden Predictive System. The architecture incorporates a Spatio-Temporal Additive Regression (STAR) primary predictive model and a post-hoc Explainable Boosting Machine (EBM) surrogate layer. While high predictive precision is critical for disease burden forecasting, clinical decision support environments demand full algorithmic transparency. Consequently, the evaluation examines both continuous regression fidelity and discrete epidemiological classification parameters, specifically detailing the Coefficient of Determination (R²), Root Mean Squared Error (RMSE), Mean Absolute Error (MAE), Symmetric Mean Absolute Percentage Error (SMAPE), Classification Accuracy, Precision, Recall (Sensitivity), Specificity, F1-Score, Balanced Accuracy, and the Area Under the Receiver Operating Characteristic Curve (ROC-AUC). Below, each analytical visualization and corresponding empirical table is systematically presented and interpreted.</w:t>
      </w:r>
    </w:p>
    <w:p>
      <w:pPr>
        <w:spacing w:before="200" w:after="80"/>
      </w:pPr>
      <w:r>
        <w:rPr>
          <w:rFonts w:ascii="Calibri" w:hAnsi="Calibri"/>
          <w:b/>
          <w:color w:val="2E75B6"/>
          <w:sz w:val="26"/>
        </w:rPr>
        <w:t>Actual vs. Predicted Agreement (R² = 89.07%)</w:t>
      </w:r>
    </w:p>
    <w:p>
      <w:r>
        <w:drawing>
          <wp:inline xmlns:a="http://schemas.openxmlformats.org/drawingml/2006/main" xmlns:pic="http://schemas.openxmlformats.org/drawingml/2006/picture">
            <wp:extent cx="5029200" cy="4310743"/>
            <wp:docPr id="1" name="Picture 1"/>
            <wp:cNvGraphicFramePr>
              <a:graphicFrameLocks noChangeAspect="1"/>
            </wp:cNvGraphicFramePr>
            <a:graphic>
              <a:graphicData uri="http://schemas.openxmlformats.org/drawingml/2006/picture">
                <pic:pic>
                  <pic:nvPicPr>
                    <pic:cNvPr id="0" name="fig4_1_actual_vs_ebm.png"/>
                    <pic:cNvPicPr/>
                  </pic:nvPicPr>
                  <pic:blipFill>
                    <a:blip r:embed="rId9"/>
                    <a:stretch>
                      <a:fillRect/>
                    </a:stretch>
                  </pic:blipFill>
                  <pic:spPr>
                    <a:xfrm>
                      <a:off x="0" y="0"/>
                      <a:ext cx="5029200" cy="4310743"/>
                    </a:xfrm>
                    <a:prstGeom prst="rect"/>
                  </pic:spPr>
                </pic:pic>
              </a:graphicData>
            </a:graphic>
          </wp:inline>
        </w:drawing>
      </w:r>
    </w:p>
    <w:p>
      <w:pPr>
        <w:spacing w:after="160"/>
        <w:jc w:val="center"/>
      </w:pPr>
      <w:r>
        <w:rPr>
          <w:b/>
          <w:sz w:val="19"/>
        </w:rPr>
        <w:t>Fig 4.1: Actual vs. EBM Predicted Agreement (R² = 89.07%)</w:t>
        <w:br/>
      </w:r>
    </w:p>
    <w:p>
      <w:pPr>
        <w:spacing w:line="276" w:lineRule="auto" w:after="200"/>
      </w:pPr>
      <w:r>
        <w:rPr>
          <w:rFonts w:ascii="Calibri" w:hAnsi="Calibri"/>
        </w:rPr>
        <w:t>This graph compares actual surveyed household malaria burden scores with the values predicted by the Explainable Boosting Machine (EBM) model. It contains three important structural elements:</w:t>
        <w:br/>
        <w:t>• Blue circles: Surveyed household observations distributed across diverse socio-economic clusters in Akwa Ibom State.</w:t>
        <w:br/>
        <w:t>• Red dashed diagonal line: The ideal agreement line, where predicted burden exactly equals actual observed burden (y = x).</w:t>
        <w:br/>
        <w:t>• Point density and dispersion: Visual representation of prediction variance and localized heteroscedasticity.</w:t>
        <w:br/>
        <w:br/>
        <w:t>The coefficient of determination, R² = 89.07%, indicates that the glassbox EBM explainer captures approximately 89.07% of the total variance in household malaria burden across the test dataset. Most of the plotted points lie in close proximity to the dashed diagonal line, confirming that the EBM's additive reconstruction g(μ) = β₀ + Σ f_j(x_j) faithfully mirrors actual household vulnerability. Observations clustering within the lower burden stratum (0.20–0.40) and those in the high-risk stratum (0.60–0.80) demonstrate strong concordance, illustrating that the additive regression trees generalize consistently across both vulnerable and protected households. Minor vertical deviations from the diagonal reflect mild localized variance without evidence of systematic overprediction or underprediction bias.</w:t>
      </w:r>
    </w:p>
    <w:p>
      <w:pPr>
        <w:spacing w:before="200" w:after="80"/>
      </w:pPr>
      <w:r>
        <w:rPr>
          <w:rFonts w:ascii="Calibri" w:hAnsi="Calibri"/>
          <w:b/>
          <w:color w:val="2E75B6"/>
          <w:sz w:val="26"/>
        </w:rPr>
        <w:t>Surrogate Fidelity Agreement: STAR vs. EBM (R² = 98.02%)</w:t>
      </w:r>
    </w:p>
    <w:p>
      <w:r>
        <w:drawing>
          <wp:inline xmlns:a="http://schemas.openxmlformats.org/drawingml/2006/main" xmlns:pic="http://schemas.openxmlformats.org/drawingml/2006/picture">
            <wp:extent cx="5029200" cy="4310743"/>
            <wp:docPr id="2" name="Picture 2"/>
            <wp:cNvGraphicFramePr>
              <a:graphicFrameLocks noChangeAspect="1"/>
            </wp:cNvGraphicFramePr>
            <a:graphic>
              <a:graphicData uri="http://schemas.openxmlformats.org/drawingml/2006/picture">
                <pic:pic>
                  <pic:nvPicPr>
                    <pic:cNvPr id="0" name="fig4_2_surrogate_fidelity.png"/>
                    <pic:cNvPicPr/>
                  </pic:nvPicPr>
                  <pic:blipFill>
                    <a:blip r:embed="rId10"/>
                    <a:stretch>
                      <a:fillRect/>
                    </a:stretch>
                  </pic:blipFill>
                  <pic:spPr>
                    <a:xfrm>
                      <a:off x="0" y="0"/>
                      <a:ext cx="5029200" cy="4310743"/>
                    </a:xfrm>
                    <a:prstGeom prst="rect"/>
                  </pic:spPr>
                </pic:pic>
              </a:graphicData>
            </a:graphic>
          </wp:inline>
        </w:drawing>
      </w:r>
    </w:p>
    <w:p>
      <w:pPr>
        <w:spacing w:after="160"/>
        <w:jc w:val="center"/>
      </w:pPr>
      <w:r>
        <w:rPr>
          <w:b/>
          <w:sz w:val="19"/>
        </w:rPr>
        <w:t>Fig 4.2: STAR Model vs. EBM Surrogate Fidelity Agreement (R² = 98.02%)</w:t>
        <w:br/>
      </w:r>
    </w:p>
    <w:p>
      <w:pPr>
        <w:spacing w:line="276" w:lineRule="auto" w:after="200"/>
      </w:pPr>
      <w:r>
        <w:rPr>
          <w:rFonts w:ascii="Calibri" w:hAnsi="Calibri"/>
        </w:rPr>
        <w:t>In post-hoc machine learning explainability, surrogate fidelity quantifies the exactness with which an interpretable glassbox model approximates the decision surface of a complex predictive model. Fig 4.2 plots the primary STAR model predictions (horizontal axis) against the EBM reconstructed scores (vertical axis). The green circles track the ideal identity line (y = x) with near-perfect tightness, yielding a surrogate fidelity coefficient of determination of R² = 98.02% and a fidelity RMSE of only 0.0379. This confirms that the EBM additive framework achieves over 98% mathematical fidelity to the STAR model. Consequently, public health officials can trust that the feature attributions, risk penalties, and protective scores generated by the EBM are true representations of the primary model's inner mechanics rather than artificial approximations.</w:t>
      </w:r>
    </w:p>
    <w:p>
      <w:pPr>
        <w:spacing w:before="200" w:after="80"/>
      </w:pPr>
      <w:r>
        <w:rPr>
          <w:rFonts w:ascii="Calibri" w:hAnsi="Calibri"/>
          <w:b/>
          <w:color w:val="2E75B6"/>
          <w:sz w:val="26"/>
        </w:rPr>
        <w:t>Receiver Operating Characteristic (ROC) Curves &amp; Discrimination (AUC = 99.99%)</w:t>
      </w:r>
    </w:p>
    <w:p>
      <w:r>
        <w:drawing>
          <wp:inline xmlns:a="http://schemas.openxmlformats.org/drawingml/2006/main" xmlns:pic="http://schemas.openxmlformats.org/drawingml/2006/picture">
            <wp:extent cx="5029200" cy="3951514"/>
            <wp:docPr id="3" name="Picture 3"/>
            <wp:cNvGraphicFramePr>
              <a:graphicFrameLocks noChangeAspect="1"/>
            </wp:cNvGraphicFramePr>
            <a:graphic>
              <a:graphicData uri="http://schemas.openxmlformats.org/drawingml/2006/picture">
                <pic:pic>
                  <pic:nvPicPr>
                    <pic:cNvPr id="0" name="fig4_3_roc_curves.png"/>
                    <pic:cNvPicPr/>
                  </pic:nvPicPr>
                  <pic:blipFill>
                    <a:blip r:embed="rId11"/>
                    <a:stretch>
                      <a:fillRect/>
                    </a:stretch>
                  </pic:blipFill>
                  <pic:spPr>
                    <a:xfrm>
                      <a:off x="0" y="0"/>
                      <a:ext cx="5029200" cy="3951514"/>
                    </a:xfrm>
                    <a:prstGeom prst="rect"/>
                  </pic:spPr>
                </pic:pic>
              </a:graphicData>
            </a:graphic>
          </wp:inline>
        </w:drawing>
      </w:r>
    </w:p>
    <w:p>
      <w:pPr>
        <w:spacing w:after="160"/>
        <w:jc w:val="center"/>
      </w:pPr>
      <w:r>
        <w:rPr>
          <w:b/>
          <w:sz w:val="19"/>
        </w:rPr>
        <w:t>Fig 4.3: Receiver Operating Characteristic (ROC) Diagnostic Curves</w:t>
        <w:br/>
      </w:r>
    </w:p>
    <w:p>
      <w:pPr>
        <w:spacing w:line="276" w:lineRule="auto" w:after="200"/>
      </w:pPr>
      <w:r>
        <w:rPr>
          <w:rFonts w:ascii="Calibri" w:hAnsi="Calibri"/>
        </w:rPr>
        <w:t>The Receiver Operating Characteristic (ROC) curve evaluates the clinical discriminative power of the models across all continuous decision thresholds. The horizontal axis represents the False Positive Rate (1 - Specificity), indicating healthy households erroneously flagged as bearing malaria burden, while the vertical axis represents the True Positive Rate (Sensitivity / Recall), measuring the proportion of true burdened households correctly identified. The solid blue curve traces the STAR model (AUC = 100.00%), the dashed green curve depicts the EBM explainer (AUC = 99.99%), and the dotted gray diagonal denotes random chance (AUC = 50.00%). Both curves ascend steeply to the upper-left coordinate (0, 1), demonstrating near-perfect discriminative capability. An AUC of 99.99% signifies that when presented with a randomly chosen burdened household and an unburdened household, the EBM correctly ranks the burdened household higher in over 99.9% of instances, ensuring outstanding diagnostic reliability in field screening.</w:t>
      </w:r>
    </w:p>
    <w:p>
      <w:pPr>
        <w:spacing w:before="200" w:after="80"/>
      </w:pPr>
      <w:r>
        <w:rPr>
          <w:rFonts w:ascii="Calibri" w:hAnsi="Calibri"/>
          <w:b/>
          <w:color w:val="2E75B6"/>
          <w:sz w:val="26"/>
        </w:rPr>
        <w:t>Epidemiological Classification Parameters (Accuracy, Precision, Recall, Specificity, F1-Score)</w:t>
      </w:r>
    </w:p>
    <w:p>
      <w:r>
        <w:drawing>
          <wp:inline xmlns:a="http://schemas.openxmlformats.org/drawingml/2006/main" xmlns:pic="http://schemas.openxmlformats.org/drawingml/2006/picture">
            <wp:extent cx="5486400" cy="3227294"/>
            <wp:docPr id="4" name="Picture 4"/>
            <wp:cNvGraphicFramePr>
              <a:graphicFrameLocks noChangeAspect="1"/>
            </wp:cNvGraphicFramePr>
            <a:graphic>
              <a:graphicData uri="http://schemas.openxmlformats.org/drawingml/2006/picture">
                <pic:pic>
                  <pic:nvPicPr>
                    <pic:cNvPr id="0" name="fig4_4_classification_bar.png"/>
                    <pic:cNvPicPr/>
                  </pic:nvPicPr>
                  <pic:blipFill>
                    <a:blip r:embed="rId12"/>
                    <a:stretch>
                      <a:fillRect/>
                    </a:stretch>
                  </pic:blipFill>
                  <pic:spPr>
                    <a:xfrm>
                      <a:off x="0" y="0"/>
                      <a:ext cx="5486400" cy="3227294"/>
                    </a:xfrm>
                    <a:prstGeom prst="rect"/>
                  </pic:spPr>
                </pic:pic>
              </a:graphicData>
            </a:graphic>
          </wp:inline>
        </w:drawing>
      </w:r>
    </w:p>
    <w:p>
      <w:pPr>
        <w:spacing w:after="160"/>
        <w:jc w:val="center"/>
      </w:pPr>
      <w:r>
        <w:rPr>
          <w:b/>
          <w:sz w:val="19"/>
        </w:rPr>
        <w:t>Fig 4.4: Classification Performance Parameters Comparison</w:t>
        <w:br/>
      </w:r>
    </w:p>
    <w:p>
      <w:pPr>
        <w:spacing w:line="276" w:lineRule="auto" w:after="160"/>
      </w:pPr>
      <w:r>
        <w:rPr>
          <w:rFonts w:ascii="Calibri" w:hAnsi="Calibri"/>
        </w:rPr>
        <w:t>To validate clinical utility, continuous risk probabilities were converted into operational health statuses using the standard 50.0% cutoff (Burden &gt; 50% vs. No Burden ≤ 50%). Fig 4.4 and Table 4.1 provide a comparative performance breakdown across all six primary clinical parameters. The EBM explainer achieved an overall Classification Accuracy of 99.38%, demonstrating that 99.38% of all household decisions are correct. Precision reached 100.00%, meaning that every household predicted to bear malaria burden is genuinely burdened, entirely eliminating false positive waste in public health supply distribution. Recall (Sensitivity) scored 98.76%, confirming that over 98.7% of true positive cases are detected. Specificity reached 100.00%, indicating that unburdened households are never misclassified. The harmonic mean of precision and recall (F1-Score) reached 99.38%, while Balanced Accuracy reached 99.38%, verifying that performance remains resilient against any demographic class imbalance.</w:t>
      </w:r>
    </w:p>
    <w:p>
      <w:pPr>
        <w:spacing w:before="120" w:after="80"/>
      </w:pPr>
      <w:r>
        <w:rPr>
          <w:rFonts w:ascii="Calibri" w:hAnsi="Calibri"/>
          <w:b/>
          <w:color w:val="1F4E79"/>
        </w:rPr>
        <w:t>Table 4.1: Comparative Epidemiological Classification Parameters Matrix</w:t>
      </w:r>
    </w:p>
    <w:tbl>
      <w:tblPr>
        <w:tblW w:type="auto" w:w="0"/>
        <w:jc w:val="center"/>
        <w:tblLook w:firstColumn="1" w:firstRow="1" w:lastColumn="0" w:lastRow="0" w:noHBand="0" w:noVBand="1" w:val="04A0"/>
        <w:tblBorders>
          <w:top w:val="single" w:sz="6" w:space="0" w:color="1F4E79"/>
          <w:bottom w:val="single" w:sz="8" w:space="0" w:color="1F4E79"/>
          <w:insideH w:val="single" w:sz="4" w:space="0" w:color="D3D3D3"/>
          <w:insideV w:val="none"/>
          <w:left w:val="none"/>
          <w:right w:val="none"/>
        </w:tblBorders>
      </w:tblPr>
      <w:tblGrid>
        <w:gridCol w:w="1872"/>
        <w:gridCol w:w="1872"/>
        <w:gridCol w:w="1872"/>
        <w:gridCol w:w="1872"/>
        <w:gridCol w:w="1872"/>
      </w:tblGrid>
      <w:tr>
        <w:tc>
          <w:tcPr>
            <w:tcW w:type="dxa" w:w="1872"/>
            <w:tcMar>
              <w:top w:w="50" w:type="dxa"/>
              <w:bottom w:w="50" w:type="dxa"/>
              <w:left w:w="80" w:type="dxa"/>
              <w:right w:w="80" w:type="dxa"/>
            </w:tcMar>
            <w:shd w:fill="1F4E79"/>
          </w:tcPr>
          <w:p>
            <w:pPr>
              <w:spacing w:before="40" w:after="40"/>
              <w:jc w:val="left"/>
            </w:pPr>
            <w:r>
              <w:rPr>
                <w:rFonts w:ascii="Calibri" w:hAnsi="Calibri"/>
                <w:b/>
                <w:color w:val="FFFFFF"/>
                <w:sz w:val="18"/>
              </w:rPr>
              <w:t>Performance Parameter</w:t>
            </w:r>
          </w:p>
        </w:tc>
        <w:tc>
          <w:tcPr>
            <w:tcW w:type="dxa" w:w="1872"/>
            <w:tcMar>
              <w:top w:w="50" w:type="dxa"/>
              <w:bottom w:w="50" w:type="dxa"/>
              <w:left w:w="80" w:type="dxa"/>
              <w:right w:w="80" w:type="dxa"/>
            </w:tcMar>
            <w:shd w:fill="1F4E79"/>
          </w:tcPr>
          <w:p>
            <w:pPr>
              <w:spacing w:before="40" w:after="40"/>
              <w:jc w:val="left"/>
            </w:pPr>
            <w:r>
              <w:rPr>
                <w:rFonts w:ascii="Calibri" w:hAnsi="Calibri"/>
                <w:b/>
                <w:color w:val="FFFFFF"/>
                <w:sz w:val="18"/>
              </w:rPr>
              <w:t>STAR Model</w:t>
            </w:r>
          </w:p>
        </w:tc>
        <w:tc>
          <w:tcPr>
            <w:tcW w:type="dxa" w:w="1872"/>
            <w:tcMar>
              <w:top w:w="50" w:type="dxa"/>
              <w:bottom w:w="50" w:type="dxa"/>
              <w:left w:w="80" w:type="dxa"/>
              <w:right w:w="80" w:type="dxa"/>
            </w:tcMar>
            <w:shd w:fill="1F4E79"/>
          </w:tcPr>
          <w:p>
            <w:pPr>
              <w:spacing w:before="40" w:after="40"/>
              <w:jc w:val="left"/>
            </w:pPr>
            <w:r>
              <w:rPr>
                <w:rFonts w:ascii="Calibri" w:hAnsi="Calibri"/>
                <w:b/>
                <w:color w:val="FFFFFF"/>
                <w:sz w:val="18"/>
              </w:rPr>
              <w:t>EBM Explainer</w:t>
            </w:r>
          </w:p>
        </w:tc>
        <w:tc>
          <w:tcPr>
            <w:tcW w:type="dxa" w:w="1872"/>
            <w:tcMar>
              <w:top w:w="50" w:type="dxa"/>
              <w:bottom w:w="50" w:type="dxa"/>
              <w:left w:w="80" w:type="dxa"/>
              <w:right w:w="80" w:type="dxa"/>
            </w:tcMar>
            <w:shd w:fill="1F4E79"/>
          </w:tcPr>
          <w:p>
            <w:pPr>
              <w:spacing w:before="40" w:after="40"/>
              <w:jc w:val="left"/>
            </w:pPr>
            <w:r>
              <w:rPr>
                <w:rFonts w:ascii="Calibri" w:hAnsi="Calibri"/>
                <w:b/>
                <w:color w:val="FFFFFF"/>
                <w:sz w:val="18"/>
              </w:rPr>
              <w:t>Surrogate Fidelity (EBM vs STAR)</w:t>
            </w:r>
          </w:p>
        </w:tc>
        <w:tc>
          <w:tcPr>
            <w:tcW w:type="dxa" w:w="1872"/>
            <w:tcMar>
              <w:top w:w="50" w:type="dxa"/>
              <w:bottom w:w="50" w:type="dxa"/>
              <w:left w:w="80" w:type="dxa"/>
              <w:right w:w="80" w:type="dxa"/>
            </w:tcMar>
            <w:shd w:fill="1F4E79"/>
          </w:tcPr>
          <w:p>
            <w:pPr>
              <w:spacing w:before="40" w:after="40"/>
              <w:jc w:val="left"/>
            </w:pPr>
            <w:r>
              <w:rPr>
                <w:rFonts w:ascii="Calibri" w:hAnsi="Calibri"/>
                <w:b/>
                <w:color w:val="FFFFFF"/>
                <w:sz w:val="18"/>
              </w:rPr>
              <w:t>Epidemiological Meaning</w:t>
            </w:r>
          </w:p>
        </w:tc>
      </w:tr>
      <w:tr>
        <w:tc>
          <w:tcPr>
            <w:tcW w:type="dxa" w:w="1872"/>
            <w:tcMar>
              <w:top w:w="50" w:type="dxa"/>
              <w:bottom w:w="50" w:type="dxa"/>
              <w:left w:w="80" w:type="dxa"/>
              <w:right w:w="80" w:type="dxa"/>
            </w:tcMar>
            <w:shd w:fill="F2F4F7"/>
          </w:tcPr>
          <w:p>
            <w:pPr>
              <w:spacing w:before="40" w:after="40"/>
              <w:jc w:val="left"/>
            </w:pPr>
            <w:r>
              <w:rPr>
                <w:rFonts w:ascii="Calibri" w:hAnsi="Calibri"/>
                <w:sz w:val="18"/>
              </w:rPr>
              <w:t>Accuracy</w:t>
            </w:r>
          </w:p>
        </w:tc>
        <w:tc>
          <w:tcPr>
            <w:tcW w:type="dxa" w:w="1872"/>
            <w:tcMar>
              <w:top w:w="50" w:type="dxa"/>
              <w:bottom w:w="50" w:type="dxa"/>
              <w:left w:w="80" w:type="dxa"/>
              <w:right w:w="80" w:type="dxa"/>
            </w:tcMar>
            <w:shd w:fill="F2F4F7"/>
          </w:tcPr>
          <w:p>
            <w:pPr>
              <w:spacing w:before="40" w:after="40"/>
              <w:jc w:val="left"/>
            </w:pPr>
            <w:r>
              <w:rPr>
                <w:rFonts w:ascii="Calibri" w:hAnsi="Calibri"/>
                <w:sz w:val="18"/>
              </w:rPr>
              <w:t>99.55%</w:t>
            </w:r>
          </w:p>
        </w:tc>
        <w:tc>
          <w:tcPr>
            <w:tcW w:type="dxa" w:w="1872"/>
            <w:tcMar>
              <w:top w:w="50" w:type="dxa"/>
              <w:bottom w:w="50" w:type="dxa"/>
              <w:left w:w="80" w:type="dxa"/>
              <w:right w:w="80" w:type="dxa"/>
            </w:tcMar>
            <w:shd w:fill="F2F4F7"/>
          </w:tcPr>
          <w:p>
            <w:pPr>
              <w:spacing w:before="40" w:after="40"/>
              <w:jc w:val="left"/>
            </w:pPr>
            <w:r>
              <w:rPr>
                <w:rFonts w:ascii="Calibri" w:hAnsi="Calibri"/>
                <w:sz w:val="18"/>
              </w:rPr>
              <w:t>99.38%</w:t>
            </w:r>
          </w:p>
        </w:tc>
        <w:tc>
          <w:tcPr>
            <w:tcW w:type="dxa" w:w="1872"/>
            <w:tcMar>
              <w:top w:w="50" w:type="dxa"/>
              <w:bottom w:w="50" w:type="dxa"/>
              <w:left w:w="80" w:type="dxa"/>
              <w:right w:w="80" w:type="dxa"/>
            </w:tcMar>
            <w:shd w:fill="F2F4F7"/>
          </w:tcPr>
          <w:p>
            <w:pPr>
              <w:spacing w:before="40" w:after="40"/>
              <w:jc w:val="left"/>
            </w:pPr>
            <w:r>
              <w:rPr>
                <w:rFonts w:ascii="Calibri" w:hAnsi="Calibri"/>
                <w:sz w:val="18"/>
              </w:rPr>
              <w:t>99.72%</w:t>
            </w:r>
          </w:p>
        </w:tc>
        <w:tc>
          <w:tcPr>
            <w:tcW w:type="dxa" w:w="1872"/>
            <w:tcMar>
              <w:top w:w="50" w:type="dxa"/>
              <w:bottom w:w="50" w:type="dxa"/>
              <w:left w:w="80" w:type="dxa"/>
              <w:right w:w="80" w:type="dxa"/>
            </w:tcMar>
            <w:shd w:fill="F2F4F7"/>
          </w:tcPr>
          <w:p>
            <w:pPr>
              <w:spacing w:before="40" w:after="40"/>
              <w:jc w:val="left"/>
            </w:pPr>
            <w:r>
              <w:rPr>
                <w:rFonts w:ascii="Calibri" w:hAnsi="Calibri"/>
                <w:sz w:val="18"/>
              </w:rPr>
              <w:t>Proportion of all predictions the model gets correct.</w:t>
            </w:r>
          </w:p>
        </w:tc>
      </w:tr>
      <w:tr>
        <w:tc>
          <w:tcPr>
            <w:tcW w:type="dxa" w:w="1872"/>
            <w:tcMar>
              <w:top w:w="50" w:type="dxa"/>
              <w:bottom w:w="50" w:type="dxa"/>
              <w:left w:w="80" w:type="dxa"/>
              <w:right w:w="80" w:type="dxa"/>
            </w:tcMar>
            <w:shd w:fill="FFFFFF"/>
          </w:tcPr>
          <w:p>
            <w:pPr>
              <w:spacing w:before="40" w:after="40"/>
              <w:jc w:val="left"/>
            </w:pPr>
            <w:r>
              <w:rPr>
                <w:rFonts w:ascii="Calibri" w:hAnsi="Calibri"/>
                <w:sz w:val="18"/>
              </w:rPr>
              <w:t>Precision</w:t>
            </w:r>
          </w:p>
        </w:tc>
        <w:tc>
          <w:tcPr>
            <w:tcW w:type="dxa" w:w="1872"/>
            <w:tcMar>
              <w:top w:w="50" w:type="dxa"/>
              <w:bottom w:w="50" w:type="dxa"/>
              <w:left w:w="80" w:type="dxa"/>
              <w:right w:w="80" w:type="dxa"/>
            </w:tcMar>
            <w:shd w:fill="FFFFFF"/>
          </w:tcPr>
          <w:p>
            <w:pPr>
              <w:spacing w:before="40" w:after="40"/>
              <w:jc w:val="left"/>
            </w:pPr>
            <w:r>
              <w:rPr>
                <w:rFonts w:ascii="Calibri" w:hAnsi="Calibri"/>
                <w:sz w:val="18"/>
              </w:rPr>
              <w:t>100.00%</w:t>
            </w:r>
          </w:p>
        </w:tc>
        <w:tc>
          <w:tcPr>
            <w:tcW w:type="dxa" w:w="1872"/>
            <w:tcMar>
              <w:top w:w="50" w:type="dxa"/>
              <w:bottom w:w="50" w:type="dxa"/>
              <w:left w:w="80" w:type="dxa"/>
              <w:right w:w="80" w:type="dxa"/>
            </w:tcMar>
            <w:shd w:fill="FFFFFF"/>
          </w:tcPr>
          <w:p>
            <w:pPr>
              <w:spacing w:before="40" w:after="40"/>
              <w:jc w:val="left"/>
            </w:pPr>
            <w:r>
              <w:rPr>
                <w:rFonts w:ascii="Calibri" w:hAnsi="Calibri"/>
                <w:sz w:val="18"/>
              </w:rPr>
              <w:t>100.00%</w:t>
            </w:r>
          </w:p>
        </w:tc>
        <w:tc>
          <w:tcPr>
            <w:tcW w:type="dxa" w:w="1872"/>
            <w:tcMar>
              <w:top w:w="50" w:type="dxa"/>
              <w:bottom w:w="50" w:type="dxa"/>
              <w:left w:w="80" w:type="dxa"/>
              <w:right w:w="80" w:type="dxa"/>
            </w:tcMar>
            <w:shd w:fill="FFFFFF"/>
          </w:tcPr>
          <w:p>
            <w:pPr>
              <w:spacing w:before="40" w:after="40"/>
              <w:jc w:val="left"/>
            </w:pPr>
            <w:r>
              <w:rPr>
                <w:rFonts w:ascii="Calibri" w:hAnsi="Calibri"/>
                <w:sz w:val="18"/>
              </w:rPr>
              <w:t>99.89%</w:t>
            </w:r>
          </w:p>
        </w:tc>
        <w:tc>
          <w:tcPr>
            <w:tcW w:type="dxa" w:w="1872"/>
            <w:tcMar>
              <w:top w:w="50" w:type="dxa"/>
              <w:bottom w:w="50" w:type="dxa"/>
              <w:left w:w="80" w:type="dxa"/>
              <w:right w:w="80" w:type="dxa"/>
            </w:tcMar>
            <w:shd w:fill="FFFFFF"/>
          </w:tcPr>
          <w:p>
            <w:pPr>
              <w:spacing w:before="40" w:after="40"/>
              <w:jc w:val="left"/>
            </w:pPr>
            <w:r>
              <w:rPr>
                <w:rFonts w:ascii="Calibri" w:hAnsi="Calibri"/>
                <w:sz w:val="18"/>
              </w:rPr>
              <w:t>Proportion of predicted positive cases that are actually positive.</w:t>
            </w:r>
          </w:p>
        </w:tc>
      </w:tr>
      <w:tr>
        <w:tc>
          <w:tcPr>
            <w:tcW w:type="dxa" w:w="1872"/>
            <w:tcMar>
              <w:top w:w="50" w:type="dxa"/>
              <w:bottom w:w="50" w:type="dxa"/>
              <w:left w:w="80" w:type="dxa"/>
              <w:right w:w="80" w:type="dxa"/>
            </w:tcMar>
            <w:shd w:fill="F2F4F7"/>
          </w:tcPr>
          <w:p>
            <w:pPr>
              <w:spacing w:before="40" w:after="40"/>
              <w:jc w:val="left"/>
            </w:pPr>
            <w:r>
              <w:rPr>
                <w:rFonts w:ascii="Calibri" w:hAnsi="Calibri"/>
                <w:sz w:val="18"/>
              </w:rPr>
              <w:t>Recall (Sensitivity)</w:t>
            </w:r>
          </w:p>
        </w:tc>
        <w:tc>
          <w:tcPr>
            <w:tcW w:type="dxa" w:w="1872"/>
            <w:tcMar>
              <w:top w:w="50" w:type="dxa"/>
              <w:bottom w:w="50" w:type="dxa"/>
              <w:left w:w="80" w:type="dxa"/>
              <w:right w:w="80" w:type="dxa"/>
            </w:tcMar>
            <w:shd w:fill="F2F4F7"/>
          </w:tcPr>
          <w:p>
            <w:pPr>
              <w:spacing w:before="40" w:after="40"/>
              <w:jc w:val="left"/>
            </w:pPr>
            <w:r>
              <w:rPr>
                <w:rFonts w:ascii="Calibri" w:hAnsi="Calibri"/>
                <w:sz w:val="18"/>
              </w:rPr>
              <w:t>99.10%</w:t>
            </w:r>
          </w:p>
        </w:tc>
        <w:tc>
          <w:tcPr>
            <w:tcW w:type="dxa" w:w="1872"/>
            <w:tcMar>
              <w:top w:w="50" w:type="dxa"/>
              <w:bottom w:w="50" w:type="dxa"/>
              <w:left w:w="80" w:type="dxa"/>
              <w:right w:w="80" w:type="dxa"/>
            </w:tcMar>
            <w:shd w:fill="F2F4F7"/>
          </w:tcPr>
          <w:p>
            <w:pPr>
              <w:spacing w:before="40" w:after="40"/>
              <w:jc w:val="left"/>
            </w:pPr>
            <w:r>
              <w:rPr>
                <w:rFonts w:ascii="Calibri" w:hAnsi="Calibri"/>
                <w:sz w:val="18"/>
              </w:rPr>
              <w:t>98.76%</w:t>
            </w:r>
          </w:p>
        </w:tc>
        <w:tc>
          <w:tcPr>
            <w:tcW w:type="dxa" w:w="1872"/>
            <w:tcMar>
              <w:top w:w="50" w:type="dxa"/>
              <w:bottom w:w="50" w:type="dxa"/>
              <w:left w:w="80" w:type="dxa"/>
              <w:right w:w="80" w:type="dxa"/>
            </w:tcMar>
            <w:shd w:fill="F2F4F7"/>
          </w:tcPr>
          <w:p>
            <w:pPr>
              <w:spacing w:before="40" w:after="40"/>
              <w:jc w:val="left"/>
            </w:pPr>
            <w:r>
              <w:rPr>
                <w:rFonts w:ascii="Calibri" w:hAnsi="Calibri"/>
                <w:sz w:val="18"/>
              </w:rPr>
              <w:t>99.55%</w:t>
            </w:r>
          </w:p>
        </w:tc>
        <w:tc>
          <w:tcPr>
            <w:tcW w:type="dxa" w:w="1872"/>
            <w:tcMar>
              <w:top w:w="50" w:type="dxa"/>
              <w:bottom w:w="50" w:type="dxa"/>
              <w:left w:w="80" w:type="dxa"/>
              <w:right w:w="80" w:type="dxa"/>
            </w:tcMar>
            <w:shd w:fill="F2F4F7"/>
          </w:tcPr>
          <w:p>
            <w:pPr>
              <w:spacing w:before="40" w:after="40"/>
              <w:jc w:val="left"/>
            </w:pPr>
            <w:r>
              <w:rPr>
                <w:rFonts w:ascii="Calibri" w:hAnsi="Calibri"/>
                <w:sz w:val="18"/>
              </w:rPr>
              <w:t>Proportion of actual positive cases correctly identified.</w:t>
            </w:r>
          </w:p>
        </w:tc>
      </w:tr>
      <w:tr>
        <w:tc>
          <w:tcPr>
            <w:tcW w:type="dxa" w:w="1872"/>
            <w:tcMar>
              <w:top w:w="50" w:type="dxa"/>
              <w:bottom w:w="50" w:type="dxa"/>
              <w:left w:w="80" w:type="dxa"/>
              <w:right w:w="80" w:type="dxa"/>
            </w:tcMar>
            <w:shd w:fill="FFFFFF"/>
          </w:tcPr>
          <w:p>
            <w:pPr>
              <w:spacing w:before="40" w:after="40"/>
              <w:jc w:val="left"/>
            </w:pPr>
            <w:r>
              <w:rPr>
                <w:rFonts w:ascii="Calibri" w:hAnsi="Calibri"/>
                <w:sz w:val="18"/>
              </w:rPr>
              <w:t>Specificity</w:t>
            </w:r>
          </w:p>
        </w:tc>
        <w:tc>
          <w:tcPr>
            <w:tcW w:type="dxa" w:w="1872"/>
            <w:tcMar>
              <w:top w:w="50" w:type="dxa"/>
              <w:bottom w:w="50" w:type="dxa"/>
              <w:left w:w="80" w:type="dxa"/>
              <w:right w:w="80" w:type="dxa"/>
            </w:tcMar>
            <w:shd w:fill="FFFFFF"/>
          </w:tcPr>
          <w:p>
            <w:pPr>
              <w:spacing w:before="40" w:after="40"/>
              <w:jc w:val="left"/>
            </w:pPr>
            <w:r>
              <w:rPr>
                <w:rFonts w:ascii="Calibri" w:hAnsi="Calibri"/>
                <w:sz w:val="18"/>
              </w:rPr>
              <w:t>100.00%</w:t>
            </w:r>
          </w:p>
        </w:tc>
        <w:tc>
          <w:tcPr>
            <w:tcW w:type="dxa" w:w="1872"/>
            <w:tcMar>
              <w:top w:w="50" w:type="dxa"/>
              <w:bottom w:w="50" w:type="dxa"/>
              <w:left w:w="80" w:type="dxa"/>
              <w:right w:w="80" w:type="dxa"/>
            </w:tcMar>
            <w:shd w:fill="FFFFFF"/>
          </w:tcPr>
          <w:p>
            <w:pPr>
              <w:spacing w:before="40" w:after="40"/>
              <w:jc w:val="left"/>
            </w:pPr>
            <w:r>
              <w:rPr>
                <w:rFonts w:ascii="Calibri" w:hAnsi="Calibri"/>
                <w:sz w:val="18"/>
              </w:rPr>
              <w:t>100.00%</w:t>
            </w:r>
          </w:p>
        </w:tc>
        <w:tc>
          <w:tcPr>
            <w:tcW w:type="dxa" w:w="1872"/>
            <w:tcMar>
              <w:top w:w="50" w:type="dxa"/>
              <w:bottom w:w="50" w:type="dxa"/>
              <w:left w:w="80" w:type="dxa"/>
              <w:right w:w="80" w:type="dxa"/>
            </w:tcMar>
            <w:shd w:fill="FFFFFF"/>
          </w:tcPr>
          <w:p>
            <w:pPr>
              <w:spacing w:before="40" w:after="40"/>
              <w:jc w:val="left"/>
            </w:pPr>
            <w:r>
              <w:rPr>
                <w:rFonts w:ascii="Calibri" w:hAnsi="Calibri"/>
                <w:sz w:val="18"/>
              </w:rPr>
              <w:t>99.89%</w:t>
            </w:r>
          </w:p>
        </w:tc>
        <w:tc>
          <w:tcPr>
            <w:tcW w:type="dxa" w:w="1872"/>
            <w:tcMar>
              <w:top w:w="50" w:type="dxa"/>
              <w:bottom w:w="50" w:type="dxa"/>
              <w:left w:w="80" w:type="dxa"/>
              <w:right w:w="80" w:type="dxa"/>
            </w:tcMar>
            <w:shd w:fill="FFFFFF"/>
          </w:tcPr>
          <w:p>
            <w:pPr>
              <w:spacing w:before="40" w:after="40"/>
              <w:jc w:val="left"/>
            </w:pPr>
            <w:r>
              <w:rPr>
                <w:rFonts w:ascii="Calibri" w:hAnsi="Calibri"/>
                <w:sz w:val="18"/>
              </w:rPr>
              <w:t>Proportion of actual negative cases correctly identified.</w:t>
            </w:r>
          </w:p>
        </w:tc>
      </w:tr>
      <w:tr>
        <w:tc>
          <w:tcPr>
            <w:tcW w:type="dxa" w:w="1872"/>
            <w:tcMar>
              <w:top w:w="50" w:type="dxa"/>
              <w:bottom w:w="50" w:type="dxa"/>
              <w:left w:w="80" w:type="dxa"/>
              <w:right w:w="80" w:type="dxa"/>
            </w:tcMar>
            <w:shd w:fill="F2F4F7"/>
          </w:tcPr>
          <w:p>
            <w:pPr>
              <w:spacing w:before="40" w:after="40"/>
              <w:jc w:val="left"/>
            </w:pPr>
            <w:r>
              <w:rPr>
                <w:rFonts w:ascii="Calibri" w:hAnsi="Calibri"/>
                <w:sz w:val="18"/>
              </w:rPr>
              <w:t>F1-score</w:t>
            </w:r>
          </w:p>
        </w:tc>
        <w:tc>
          <w:tcPr>
            <w:tcW w:type="dxa" w:w="1872"/>
            <w:tcMar>
              <w:top w:w="50" w:type="dxa"/>
              <w:bottom w:w="50" w:type="dxa"/>
              <w:left w:w="80" w:type="dxa"/>
              <w:right w:w="80" w:type="dxa"/>
            </w:tcMar>
            <w:shd w:fill="F2F4F7"/>
          </w:tcPr>
          <w:p>
            <w:pPr>
              <w:spacing w:before="40" w:after="40"/>
              <w:jc w:val="left"/>
            </w:pPr>
            <w:r>
              <w:rPr>
                <w:rFonts w:ascii="Calibri" w:hAnsi="Calibri"/>
                <w:sz w:val="18"/>
              </w:rPr>
              <w:t>99.55%</w:t>
            </w:r>
          </w:p>
        </w:tc>
        <w:tc>
          <w:tcPr>
            <w:tcW w:type="dxa" w:w="1872"/>
            <w:tcMar>
              <w:top w:w="50" w:type="dxa"/>
              <w:bottom w:w="50" w:type="dxa"/>
              <w:left w:w="80" w:type="dxa"/>
              <w:right w:w="80" w:type="dxa"/>
            </w:tcMar>
            <w:shd w:fill="F2F4F7"/>
          </w:tcPr>
          <w:p>
            <w:pPr>
              <w:spacing w:before="40" w:after="40"/>
              <w:jc w:val="left"/>
            </w:pPr>
            <w:r>
              <w:rPr>
                <w:rFonts w:ascii="Calibri" w:hAnsi="Calibri"/>
                <w:sz w:val="18"/>
              </w:rPr>
              <w:t>99.38%</w:t>
            </w:r>
          </w:p>
        </w:tc>
        <w:tc>
          <w:tcPr>
            <w:tcW w:type="dxa" w:w="1872"/>
            <w:tcMar>
              <w:top w:w="50" w:type="dxa"/>
              <w:bottom w:w="50" w:type="dxa"/>
              <w:left w:w="80" w:type="dxa"/>
              <w:right w:w="80" w:type="dxa"/>
            </w:tcMar>
            <w:shd w:fill="F2F4F7"/>
          </w:tcPr>
          <w:p>
            <w:pPr>
              <w:spacing w:before="40" w:after="40"/>
              <w:jc w:val="left"/>
            </w:pPr>
            <w:r>
              <w:rPr>
                <w:rFonts w:ascii="Calibri" w:hAnsi="Calibri"/>
                <w:sz w:val="18"/>
              </w:rPr>
              <w:t>99.72%</w:t>
            </w:r>
          </w:p>
        </w:tc>
        <w:tc>
          <w:tcPr>
            <w:tcW w:type="dxa" w:w="1872"/>
            <w:tcMar>
              <w:top w:w="50" w:type="dxa"/>
              <w:bottom w:w="50" w:type="dxa"/>
              <w:left w:w="80" w:type="dxa"/>
              <w:right w:w="80" w:type="dxa"/>
            </w:tcMar>
            <w:shd w:fill="F2F4F7"/>
          </w:tcPr>
          <w:p>
            <w:pPr>
              <w:spacing w:before="40" w:after="40"/>
              <w:jc w:val="left"/>
            </w:pPr>
            <w:r>
              <w:rPr>
                <w:rFonts w:ascii="Calibri" w:hAnsi="Calibri"/>
                <w:sz w:val="18"/>
              </w:rPr>
              <w:t>Harmonic mean of precision and recall.</w:t>
            </w:r>
          </w:p>
        </w:tc>
      </w:tr>
      <w:tr>
        <w:tc>
          <w:tcPr>
            <w:tcW w:type="dxa" w:w="1872"/>
            <w:tcMar>
              <w:top w:w="50" w:type="dxa"/>
              <w:bottom w:w="50" w:type="dxa"/>
              <w:left w:w="80" w:type="dxa"/>
              <w:right w:w="80" w:type="dxa"/>
            </w:tcMar>
            <w:shd w:fill="FFFFFF"/>
          </w:tcPr>
          <w:p>
            <w:pPr>
              <w:spacing w:before="40" w:after="40"/>
              <w:jc w:val="left"/>
            </w:pPr>
            <w:r>
              <w:rPr>
                <w:rFonts w:ascii="Calibri" w:hAnsi="Calibri"/>
                <w:sz w:val="18"/>
              </w:rPr>
              <w:t>ROC-AUC</w:t>
            </w:r>
          </w:p>
        </w:tc>
        <w:tc>
          <w:tcPr>
            <w:tcW w:type="dxa" w:w="1872"/>
            <w:tcMar>
              <w:top w:w="50" w:type="dxa"/>
              <w:bottom w:w="50" w:type="dxa"/>
              <w:left w:w="80" w:type="dxa"/>
              <w:right w:w="80" w:type="dxa"/>
            </w:tcMar>
            <w:shd w:fill="FFFFFF"/>
          </w:tcPr>
          <w:p>
            <w:pPr>
              <w:spacing w:before="40" w:after="40"/>
              <w:jc w:val="left"/>
            </w:pPr>
            <w:r>
              <w:rPr>
                <w:rFonts w:ascii="Calibri" w:hAnsi="Calibri"/>
                <w:sz w:val="18"/>
              </w:rPr>
              <w:t>100.00%</w:t>
            </w:r>
          </w:p>
        </w:tc>
        <w:tc>
          <w:tcPr>
            <w:tcW w:type="dxa" w:w="1872"/>
            <w:tcMar>
              <w:top w:w="50" w:type="dxa"/>
              <w:bottom w:w="50" w:type="dxa"/>
              <w:left w:w="80" w:type="dxa"/>
              <w:right w:w="80" w:type="dxa"/>
            </w:tcMar>
            <w:shd w:fill="FFFFFF"/>
          </w:tcPr>
          <w:p>
            <w:pPr>
              <w:spacing w:before="40" w:after="40"/>
              <w:jc w:val="left"/>
            </w:pPr>
            <w:r>
              <w:rPr>
                <w:rFonts w:ascii="Calibri" w:hAnsi="Calibri"/>
                <w:sz w:val="18"/>
              </w:rPr>
              <w:t>99.99%</w:t>
            </w:r>
          </w:p>
        </w:tc>
        <w:tc>
          <w:tcPr>
            <w:tcW w:type="dxa" w:w="1872"/>
            <w:tcMar>
              <w:top w:w="50" w:type="dxa"/>
              <w:bottom w:w="50" w:type="dxa"/>
              <w:left w:w="80" w:type="dxa"/>
              <w:right w:w="80" w:type="dxa"/>
            </w:tcMar>
            <w:shd w:fill="FFFFFF"/>
          </w:tcPr>
          <w:p>
            <w:pPr>
              <w:spacing w:before="40" w:after="40"/>
              <w:jc w:val="left"/>
            </w:pPr>
            <w:r>
              <w:rPr>
                <w:rFonts w:ascii="Calibri" w:hAnsi="Calibri"/>
                <w:sz w:val="18"/>
              </w:rPr>
              <w:t>100.00%</w:t>
            </w:r>
          </w:p>
        </w:tc>
        <w:tc>
          <w:tcPr>
            <w:tcW w:type="dxa" w:w="1872"/>
            <w:tcMar>
              <w:top w:w="50" w:type="dxa"/>
              <w:bottom w:w="50" w:type="dxa"/>
              <w:left w:w="80" w:type="dxa"/>
              <w:right w:w="80" w:type="dxa"/>
            </w:tcMar>
            <w:shd w:fill="FFFFFF"/>
          </w:tcPr>
          <w:p>
            <w:pPr>
              <w:spacing w:before="40" w:after="40"/>
              <w:jc w:val="left"/>
            </w:pPr>
            <w:r>
              <w:rPr>
                <w:rFonts w:ascii="Calibri" w:hAnsi="Calibri"/>
                <w:sz w:val="18"/>
              </w:rPr>
              <w:t>Measures how well model distinguishes between classes across thresholds.</w:t>
            </w:r>
          </w:p>
        </w:tc>
      </w:tr>
      <w:tr>
        <w:tc>
          <w:tcPr>
            <w:tcW w:type="dxa" w:w="1872"/>
            <w:tcMar>
              <w:top w:w="50" w:type="dxa"/>
              <w:bottom w:w="50" w:type="dxa"/>
              <w:left w:w="80" w:type="dxa"/>
              <w:right w:w="80" w:type="dxa"/>
            </w:tcMar>
            <w:shd w:fill="F2F4F7"/>
          </w:tcPr>
          <w:p>
            <w:pPr>
              <w:spacing w:before="40" w:after="40"/>
              <w:jc w:val="left"/>
            </w:pPr>
            <w:r>
              <w:rPr>
                <w:rFonts w:ascii="Calibri" w:hAnsi="Calibri"/>
                <w:sz w:val="18"/>
              </w:rPr>
              <w:t>Balanced Accuracy</w:t>
            </w:r>
          </w:p>
        </w:tc>
        <w:tc>
          <w:tcPr>
            <w:tcW w:type="dxa" w:w="1872"/>
            <w:tcMar>
              <w:top w:w="50" w:type="dxa"/>
              <w:bottom w:w="50" w:type="dxa"/>
              <w:left w:w="80" w:type="dxa"/>
              <w:right w:w="80" w:type="dxa"/>
            </w:tcMar>
            <w:shd w:fill="F2F4F7"/>
          </w:tcPr>
          <w:p>
            <w:pPr>
              <w:spacing w:before="40" w:after="40"/>
              <w:jc w:val="left"/>
            </w:pPr>
            <w:r>
              <w:rPr>
                <w:rFonts w:ascii="Calibri" w:hAnsi="Calibri"/>
                <w:sz w:val="18"/>
              </w:rPr>
              <w:t>99.55%</w:t>
            </w:r>
          </w:p>
        </w:tc>
        <w:tc>
          <w:tcPr>
            <w:tcW w:type="dxa" w:w="1872"/>
            <w:tcMar>
              <w:top w:w="50" w:type="dxa"/>
              <w:bottom w:w="50" w:type="dxa"/>
              <w:left w:w="80" w:type="dxa"/>
              <w:right w:w="80" w:type="dxa"/>
            </w:tcMar>
            <w:shd w:fill="F2F4F7"/>
          </w:tcPr>
          <w:p>
            <w:pPr>
              <w:spacing w:before="40" w:after="40"/>
              <w:jc w:val="left"/>
            </w:pPr>
            <w:r>
              <w:rPr>
                <w:rFonts w:ascii="Calibri" w:hAnsi="Calibri"/>
                <w:sz w:val="18"/>
              </w:rPr>
              <w:t>99.38%</w:t>
            </w:r>
          </w:p>
        </w:tc>
        <w:tc>
          <w:tcPr>
            <w:tcW w:type="dxa" w:w="1872"/>
            <w:tcMar>
              <w:top w:w="50" w:type="dxa"/>
              <w:bottom w:w="50" w:type="dxa"/>
              <w:left w:w="80" w:type="dxa"/>
              <w:right w:w="80" w:type="dxa"/>
            </w:tcMar>
            <w:shd w:fill="F2F4F7"/>
          </w:tcPr>
          <w:p>
            <w:pPr>
              <w:spacing w:before="40" w:after="40"/>
              <w:jc w:val="left"/>
            </w:pPr>
            <w:r>
              <w:rPr>
                <w:rFonts w:ascii="Calibri" w:hAnsi="Calibri"/>
                <w:sz w:val="18"/>
              </w:rPr>
              <w:t>99.72%</w:t>
            </w:r>
          </w:p>
        </w:tc>
        <w:tc>
          <w:tcPr>
            <w:tcW w:type="dxa" w:w="1872"/>
            <w:tcMar>
              <w:top w:w="50" w:type="dxa"/>
              <w:bottom w:w="50" w:type="dxa"/>
              <w:left w:w="80" w:type="dxa"/>
              <w:right w:w="80" w:type="dxa"/>
            </w:tcMar>
            <w:shd w:fill="F2F4F7"/>
          </w:tcPr>
          <w:p>
            <w:pPr>
              <w:spacing w:before="40" w:after="40"/>
              <w:jc w:val="left"/>
            </w:pPr>
            <w:r>
              <w:rPr>
                <w:rFonts w:ascii="Calibri" w:hAnsi="Calibri"/>
                <w:sz w:val="18"/>
              </w:rPr>
              <w:t>Arithmetic mean of sensitivity and specificity (avoids bias on imbalanced data).</w:t>
            </w:r>
          </w:p>
        </w:tc>
      </w:tr>
    </w:tbl>
    <w:p>
      <w:pPr>
        <w:spacing w:before="240" w:after="80"/>
      </w:pPr>
      <w:r>
        <w:rPr>
          <w:rFonts w:ascii="Calibri" w:hAnsi="Calibri"/>
          <w:b/>
          <w:color w:val="2E75B6"/>
          <w:sz w:val="26"/>
        </w:rPr>
        <w:t>Surrogate Decision Concordance Matrix (Agreement = 99.72%)</w:t>
      </w:r>
    </w:p>
    <w:p>
      <w:r>
        <w:drawing>
          <wp:inline xmlns:a="http://schemas.openxmlformats.org/drawingml/2006/main" xmlns:pic="http://schemas.openxmlformats.org/drawingml/2006/picture">
            <wp:extent cx="4389120" cy="3657600"/>
            <wp:docPr id="5" name="Picture 5"/>
            <wp:cNvGraphicFramePr>
              <a:graphicFrameLocks noChangeAspect="1"/>
            </wp:cNvGraphicFramePr>
            <a:graphic>
              <a:graphicData uri="http://schemas.openxmlformats.org/drawingml/2006/picture">
                <pic:pic>
                  <pic:nvPicPr>
                    <pic:cNvPr id="0" name="fig4_6_confusion_matrix.png"/>
                    <pic:cNvPicPr/>
                  </pic:nvPicPr>
                  <pic:blipFill>
                    <a:blip r:embed="rId13"/>
                    <a:stretch>
                      <a:fillRect/>
                    </a:stretch>
                  </pic:blipFill>
                  <pic:spPr>
                    <a:xfrm>
                      <a:off x="0" y="0"/>
                      <a:ext cx="4389120" cy="3657600"/>
                    </a:xfrm>
                    <a:prstGeom prst="rect"/>
                  </pic:spPr>
                </pic:pic>
              </a:graphicData>
            </a:graphic>
          </wp:inline>
        </w:drawing>
      </w:r>
    </w:p>
    <w:p>
      <w:pPr>
        <w:spacing w:after="160"/>
        <w:jc w:val="center"/>
      </w:pPr>
      <w:r>
        <w:rPr>
          <w:b/>
          <w:sz w:val="19"/>
        </w:rPr>
        <w:t>Fig 4.5: Surrogate Decision Concordance Matrix (Agreement = 99.72%)</w:t>
        <w:br/>
      </w:r>
    </w:p>
    <w:p>
      <w:pPr>
        <w:spacing w:line="276" w:lineRule="auto" w:after="200"/>
      </w:pPr>
      <w:r>
        <w:rPr>
          <w:rFonts w:ascii="Calibri" w:hAnsi="Calibri"/>
        </w:rPr>
        <w:t>Fig 4.5 illustrates the binary decision concordance matrix comparing the primary STAR predictions against the EBM surrogate decisions. Across the evaluation cohort, the two models achieved exact clinical classification concordance in 99.72% of cases. The diagonal elements represent identical decisions between the complex model and the glassbox explainer. The extreme scarcity of off-diagonal entries confirms that the EBM surrogate almost never contradicts the primary model when categorizing households into Burden vs. No Burden tiers, providing high operational confidence for medical supervisors.</w:t>
      </w:r>
    </w:p>
    <w:p>
      <w:pPr>
        <w:spacing w:before="200" w:after="80"/>
      </w:pPr>
      <w:r>
        <w:rPr>
          <w:rFonts w:ascii="Calibri" w:hAnsi="Calibri"/>
          <w:b/>
          <w:color w:val="2E75B6"/>
          <w:sz w:val="26"/>
        </w:rPr>
        <w:t>Regression Error Benchmark: RMSE, MAE, and SMAPE</w:t>
      </w:r>
    </w:p>
    <w:p>
      <w:r>
        <w:drawing>
          <wp:inline xmlns:a="http://schemas.openxmlformats.org/drawingml/2006/main" xmlns:pic="http://schemas.openxmlformats.org/drawingml/2006/picture">
            <wp:extent cx="5303520" cy="3394253"/>
            <wp:docPr id="6" name="Picture 6"/>
            <wp:cNvGraphicFramePr>
              <a:graphicFrameLocks noChangeAspect="1"/>
            </wp:cNvGraphicFramePr>
            <a:graphic>
              <a:graphicData uri="http://schemas.openxmlformats.org/drawingml/2006/picture">
                <pic:pic>
                  <pic:nvPicPr>
                    <pic:cNvPr id="0" name="fig4_7_regression_metrics.png"/>
                    <pic:cNvPicPr/>
                  </pic:nvPicPr>
                  <pic:blipFill>
                    <a:blip r:embed="rId14"/>
                    <a:stretch>
                      <a:fillRect/>
                    </a:stretch>
                  </pic:blipFill>
                  <pic:spPr>
                    <a:xfrm>
                      <a:off x="0" y="0"/>
                      <a:ext cx="5303520" cy="3394253"/>
                    </a:xfrm>
                    <a:prstGeom prst="rect"/>
                  </pic:spPr>
                </pic:pic>
              </a:graphicData>
            </a:graphic>
          </wp:inline>
        </w:drawing>
      </w:r>
    </w:p>
    <w:p>
      <w:pPr>
        <w:spacing w:after="160"/>
        <w:jc w:val="center"/>
      </w:pPr>
      <w:r>
        <w:rPr>
          <w:b/>
          <w:sz w:val="19"/>
        </w:rPr>
        <w:t>Fig 4.6: Regression Error Benchmark: Root Mean Squared Error &amp; Mean Absolute Error</w:t>
        <w:br/>
      </w:r>
    </w:p>
    <w:p>
      <w:pPr>
        <w:spacing w:line="276" w:lineRule="auto" w:after="160"/>
      </w:pPr>
      <w:r>
        <w:rPr>
          <w:rFonts w:ascii="Calibri" w:hAnsi="Calibri"/>
        </w:rPr>
        <w:t>Continuous risk evaluation requires analyzing the magnitude of prediction residuals. Fig 4.6 and Table 4.2 contrast the Root Mean Squared Error (RMSE) and Mean Absolute Error (MAE) across the models. The primary STAR model recorded an RMSE of 0.0961 and an MAE of 0.0739, while the EBM explainer achieved an RMSE of 0.1091 and an MAE of 0.0865. More remarkably, the surrogate error comparing STAR directly to EBM yielded an RMSE of only 0.0379 and an MAE of 0.0262, with a Symmetric Mean Absolute Percentage Error (SMAPE) of 9.01%. This demonstrates that the deviation between the complex model and its interpretable counterpart is negligible.</w:t>
      </w:r>
    </w:p>
    <w:p>
      <w:pPr>
        <w:spacing w:before="120" w:after="80"/>
      </w:pPr>
      <w:r>
        <w:rPr>
          <w:rFonts w:ascii="Calibri" w:hAnsi="Calibri"/>
          <w:b/>
          <w:color w:val="1F4E79"/>
        </w:rPr>
        <w:t>Table 4.2: Regression and Surrogate Fidelity Performance Parameters Matrix</w:t>
      </w:r>
    </w:p>
    <w:tbl>
      <w:tblPr>
        <w:tblW w:type="auto" w:w="0"/>
        <w:jc w:val="center"/>
        <w:tblLook w:firstColumn="1" w:firstRow="1" w:lastColumn="0" w:lastRow="0" w:noHBand="0" w:noVBand="1" w:val="04A0"/>
        <w:tblBorders>
          <w:top w:val="single" w:sz="6" w:space="0" w:color="1F4E79"/>
          <w:bottom w:val="single" w:sz="8" w:space="0" w:color="1F4E79"/>
          <w:insideH w:val="single" w:sz="4" w:space="0" w:color="D3D3D3"/>
          <w:insideV w:val="none"/>
          <w:left w:val="none"/>
          <w:right w:val="none"/>
        </w:tblBorders>
      </w:tblPr>
      <w:tblGrid>
        <w:gridCol w:w="1872"/>
        <w:gridCol w:w="1872"/>
        <w:gridCol w:w="1872"/>
        <w:gridCol w:w="1872"/>
        <w:gridCol w:w="1872"/>
      </w:tblGrid>
      <w:tr>
        <w:tc>
          <w:tcPr>
            <w:tcW w:type="dxa" w:w="1872"/>
            <w:tcMar>
              <w:top w:w="50" w:type="dxa"/>
              <w:bottom w:w="50" w:type="dxa"/>
              <w:left w:w="80" w:type="dxa"/>
              <w:right w:w="80" w:type="dxa"/>
            </w:tcMar>
            <w:shd w:fill="1F4E79"/>
          </w:tcPr>
          <w:p>
            <w:pPr>
              <w:spacing w:before="40" w:after="40"/>
              <w:jc w:val="left"/>
            </w:pPr>
            <w:r>
              <w:rPr>
                <w:rFonts w:ascii="Calibri" w:hAnsi="Calibri"/>
                <w:b/>
                <w:color w:val="FFFFFF"/>
                <w:sz w:val="18"/>
              </w:rPr>
              <w:t>Parameter / Metric</w:t>
            </w:r>
          </w:p>
        </w:tc>
        <w:tc>
          <w:tcPr>
            <w:tcW w:type="dxa" w:w="1872"/>
            <w:tcMar>
              <w:top w:w="50" w:type="dxa"/>
              <w:bottom w:w="50" w:type="dxa"/>
              <w:left w:w="80" w:type="dxa"/>
              <w:right w:w="80" w:type="dxa"/>
            </w:tcMar>
            <w:shd w:fill="1F4E79"/>
          </w:tcPr>
          <w:p>
            <w:pPr>
              <w:spacing w:before="40" w:after="40"/>
              <w:jc w:val="left"/>
            </w:pPr>
            <w:r>
              <w:rPr>
                <w:rFonts w:ascii="Calibri" w:hAnsi="Calibri"/>
                <w:b/>
                <w:color w:val="FFFFFF"/>
                <w:sz w:val="18"/>
              </w:rPr>
              <w:t>STAR Model</w:t>
            </w:r>
          </w:p>
        </w:tc>
        <w:tc>
          <w:tcPr>
            <w:tcW w:type="dxa" w:w="1872"/>
            <w:tcMar>
              <w:top w:w="50" w:type="dxa"/>
              <w:bottom w:w="50" w:type="dxa"/>
              <w:left w:w="80" w:type="dxa"/>
              <w:right w:w="80" w:type="dxa"/>
            </w:tcMar>
            <w:shd w:fill="1F4E79"/>
          </w:tcPr>
          <w:p>
            <w:pPr>
              <w:spacing w:before="40" w:after="40"/>
              <w:jc w:val="left"/>
            </w:pPr>
            <w:r>
              <w:rPr>
                <w:rFonts w:ascii="Calibri" w:hAnsi="Calibri"/>
                <w:b/>
                <w:color w:val="FFFFFF"/>
                <w:sz w:val="18"/>
              </w:rPr>
              <w:t>EBM Explainer</w:t>
            </w:r>
          </w:p>
        </w:tc>
        <w:tc>
          <w:tcPr>
            <w:tcW w:type="dxa" w:w="1872"/>
            <w:tcMar>
              <w:top w:w="50" w:type="dxa"/>
              <w:bottom w:w="50" w:type="dxa"/>
              <w:left w:w="80" w:type="dxa"/>
              <w:right w:w="80" w:type="dxa"/>
            </w:tcMar>
            <w:shd w:fill="1F4E79"/>
          </w:tcPr>
          <w:p>
            <w:pPr>
              <w:spacing w:before="40" w:after="40"/>
              <w:jc w:val="left"/>
            </w:pPr>
            <w:r>
              <w:rPr>
                <w:rFonts w:ascii="Calibri" w:hAnsi="Calibri"/>
                <w:b/>
                <w:color w:val="FFFFFF"/>
                <w:sz w:val="18"/>
              </w:rPr>
              <w:t>Surrogate Fidelity (vs STAR)</w:t>
            </w:r>
          </w:p>
        </w:tc>
        <w:tc>
          <w:tcPr>
            <w:tcW w:type="dxa" w:w="1872"/>
            <w:tcMar>
              <w:top w:w="50" w:type="dxa"/>
              <w:bottom w:w="50" w:type="dxa"/>
              <w:left w:w="80" w:type="dxa"/>
              <w:right w:w="80" w:type="dxa"/>
            </w:tcMar>
            <w:shd w:fill="1F4E79"/>
          </w:tcPr>
          <w:p>
            <w:pPr>
              <w:spacing w:before="40" w:after="40"/>
              <w:jc w:val="left"/>
            </w:pPr>
            <w:r>
              <w:rPr>
                <w:rFonts w:ascii="Calibri" w:hAnsi="Calibri"/>
                <w:b/>
                <w:color w:val="FFFFFF"/>
                <w:sz w:val="18"/>
              </w:rPr>
              <w:t>Operational &amp; Mathematical Description</w:t>
            </w:r>
          </w:p>
        </w:tc>
      </w:tr>
      <w:tr>
        <w:tc>
          <w:tcPr>
            <w:tcW w:type="dxa" w:w="1872"/>
            <w:tcMar>
              <w:top w:w="50" w:type="dxa"/>
              <w:bottom w:w="50" w:type="dxa"/>
              <w:left w:w="80" w:type="dxa"/>
              <w:right w:w="80" w:type="dxa"/>
            </w:tcMar>
            <w:shd w:fill="F2F4F7"/>
          </w:tcPr>
          <w:p>
            <w:pPr>
              <w:spacing w:before="40" w:after="40"/>
              <w:jc w:val="left"/>
            </w:pPr>
            <w:r>
              <w:rPr>
                <w:rFonts w:ascii="Calibri" w:hAnsi="Calibri"/>
                <w:sz w:val="18"/>
              </w:rPr>
              <w:t>Coefficient of Determination (R²)</w:t>
            </w:r>
          </w:p>
        </w:tc>
        <w:tc>
          <w:tcPr>
            <w:tcW w:type="dxa" w:w="1872"/>
            <w:tcMar>
              <w:top w:w="50" w:type="dxa"/>
              <w:bottom w:w="50" w:type="dxa"/>
              <w:left w:w="80" w:type="dxa"/>
              <w:right w:w="80" w:type="dxa"/>
            </w:tcMar>
            <w:shd w:fill="F2F4F7"/>
          </w:tcPr>
          <w:p>
            <w:pPr>
              <w:spacing w:before="40" w:after="40"/>
              <w:jc w:val="left"/>
            </w:pPr>
            <w:r>
              <w:rPr>
                <w:rFonts w:ascii="Calibri" w:hAnsi="Calibri"/>
                <w:sz w:val="18"/>
              </w:rPr>
              <w:t>91.52%</w:t>
            </w:r>
          </w:p>
        </w:tc>
        <w:tc>
          <w:tcPr>
            <w:tcW w:type="dxa" w:w="1872"/>
            <w:tcMar>
              <w:top w:w="50" w:type="dxa"/>
              <w:bottom w:w="50" w:type="dxa"/>
              <w:left w:w="80" w:type="dxa"/>
              <w:right w:w="80" w:type="dxa"/>
            </w:tcMar>
            <w:shd w:fill="F2F4F7"/>
          </w:tcPr>
          <w:p>
            <w:pPr>
              <w:spacing w:before="40" w:after="40"/>
              <w:jc w:val="left"/>
            </w:pPr>
            <w:r>
              <w:rPr>
                <w:rFonts w:ascii="Calibri" w:hAnsi="Calibri"/>
                <w:sz w:val="18"/>
              </w:rPr>
              <w:t>89.07%</w:t>
            </w:r>
          </w:p>
        </w:tc>
        <w:tc>
          <w:tcPr>
            <w:tcW w:type="dxa" w:w="1872"/>
            <w:tcMar>
              <w:top w:w="50" w:type="dxa"/>
              <w:bottom w:w="50" w:type="dxa"/>
              <w:left w:w="80" w:type="dxa"/>
              <w:right w:w="80" w:type="dxa"/>
            </w:tcMar>
            <w:shd w:fill="F2F4F7"/>
          </w:tcPr>
          <w:p>
            <w:pPr>
              <w:spacing w:before="40" w:after="40"/>
              <w:jc w:val="left"/>
            </w:pPr>
            <w:r>
              <w:rPr>
                <w:rFonts w:ascii="Calibri" w:hAnsi="Calibri"/>
                <w:sz w:val="18"/>
              </w:rPr>
              <w:t>98.02%</w:t>
            </w:r>
          </w:p>
        </w:tc>
        <w:tc>
          <w:tcPr>
            <w:tcW w:type="dxa" w:w="1872"/>
            <w:tcMar>
              <w:top w:w="50" w:type="dxa"/>
              <w:bottom w:w="50" w:type="dxa"/>
              <w:left w:w="80" w:type="dxa"/>
              <w:right w:w="80" w:type="dxa"/>
            </w:tcMar>
            <w:shd w:fill="F2F4F7"/>
          </w:tcPr>
          <w:p>
            <w:pPr>
              <w:spacing w:before="40" w:after="40"/>
              <w:jc w:val="left"/>
            </w:pPr>
            <w:r>
              <w:rPr>
                <w:rFonts w:ascii="Calibri" w:hAnsi="Calibri"/>
                <w:sz w:val="18"/>
              </w:rPr>
              <w:t>Proportion of malaria burden variance captured.</w:t>
            </w:r>
          </w:p>
        </w:tc>
      </w:tr>
      <w:tr>
        <w:tc>
          <w:tcPr>
            <w:tcW w:type="dxa" w:w="1872"/>
            <w:tcMar>
              <w:top w:w="50" w:type="dxa"/>
              <w:bottom w:w="50" w:type="dxa"/>
              <w:left w:w="80" w:type="dxa"/>
              <w:right w:w="80" w:type="dxa"/>
            </w:tcMar>
            <w:shd w:fill="FFFFFF"/>
          </w:tcPr>
          <w:p>
            <w:pPr>
              <w:spacing w:before="40" w:after="40"/>
              <w:jc w:val="left"/>
            </w:pPr>
            <w:r>
              <w:rPr>
                <w:rFonts w:ascii="Calibri" w:hAnsi="Calibri"/>
                <w:sz w:val="18"/>
              </w:rPr>
              <w:t>Root Mean Squared Error (RMSE)</w:t>
            </w:r>
          </w:p>
        </w:tc>
        <w:tc>
          <w:tcPr>
            <w:tcW w:type="dxa" w:w="1872"/>
            <w:tcMar>
              <w:top w:w="50" w:type="dxa"/>
              <w:bottom w:w="50" w:type="dxa"/>
              <w:left w:w="80" w:type="dxa"/>
              <w:right w:w="80" w:type="dxa"/>
            </w:tcMar>
            <w:shd w:fill="FFFFFF"/>
          </w:tcPr>
          <w:p>
            <w:pPr>
              <w:spacing w:before="40" w:after="40"/>
              <w:jc w:val="left"/>
            </w:pPr>
            <w:r>
              <w:rPr>
                <w:rFonts w:ascii="Calibri" w:hAnsi="Calibri"/>
                <w:sz w:val="18"/>
              </w:rPr>
              <w:t>0.0961</w:t>
            </w:r>
          </w:p>
        </w:tc>
        <w:tc>
          <w:tcPr>
            <w:tcW w:type="dxa" w:w="1872"/>
            <w:tcMar>
              <w:top w:w="50" w:type="dxa"/>
              <w:bottom w:w="50" w:type="dxa"/>
              <w:left w:w="80" w:type="dxa"/>
              <w:right w:w="80" w:type="dxa"/>
            </w:tcMar>
            <w:shd w:fill="FFFFFF"/>
          </w:tcPr>
          <w:p>
            <w:pPr>
              <w:spacing w:before="40" w:after="40"/>
              <w:jc w:val="left"/>
            </w:pPr>
            <w:r>
              <w:rPr>
                <w:rFonts w:ascii="Calibri" w:hAnsi="Calibri"/>
                <w:sz w:val="18"/>
              </w:rPr>
              <w:t>0.1091</w:t>
            </w:r>
          </w:p>
        </w:tc>
        <w:tc>
          <w:tcPr>
            <w:tcW w:type="dxa" w:w="1872"/>
            <w:tcMar>
              <w:top w:w="50" w:type="dxa"/>
              <w:bottom w:w="50" w:type="dxa"/>
              <w:left w:w="80" w:type="dxa"/>
              <w:right w:w="80" w:type="dxa"/>
            </w:tcMar>
            <w:shd w:fill="FFFFFF"/>
          </w:tcPr>
          <w:p>
            <w:pPr>
              <w:spacing w:before="40" w:after="40"/>
              <w:jc w:val="left"/>
            </w:pPr>
            <w:r>
              <w:rPr>
                <w:rFonts w:ascii="Calibri" w:hAnsi="Calibri"/>
                <w:sz w:val="18"/>
              </w:rPr>
              <w:t>0.0379</w:t>
            </w:r>
          </w:p>
        </w:tc>
        <w:tc>
          <w:tcPr>
            <w:tcW w:type="dxa" w:w="1872"/>
            <w:tcMar>
              <w:top w:w="50" w:type="dxa"/>
              <w:bottom w:w="50" w:type="dxa"/>
              <w:left w:w="80" w:type="dxa"/>
              <w:right w:w="80" w:type="dxa"/>
            </w:tcMar>
            <w:shd w:fill="FFFFFF"/>
          </w:tcPr>
          <w:p>
            <w:pPr>
              <w:spacing w:before="40" w:after="40"/>
              <w:jc w:val="left"/>
            </w:pPr>
            <w:r>
              <w:rPr>
                <w:rFonts w:ascii="Calibri" w:hAnsi="Calibri"/>
                <w:sz w:val="18"/>
              </w:rPr>
              <w:t>Square root of mean squared prediction error.</w:t>
            </w:r>
          </w:p>
        </w:tc>
      </w:tr>
      <w:tr>
        <w:tc>
          <w:tcPr>
            <w:tcW w:type="dxa" w:w="1872"/>
            <w:tcMar>
              <w:top w:w="50" w:type="dxa"/>
              <w:bottom w:w="50" w:type="dxa"/>
              <w:left w:w="80" w:type="dxa"/>
              <w:right w:w="80" w:type="dxa"/>
            </w:tcMar>
            <w:shd w:fill="F2F4F7"/>
          </w:tcPr>
          <w:p>
            <w:pPr>
              <w:spacing w:before="40" w:after="40"/>
              <w:jc w:val="left"/>
            </w:pPr>
            <w:r>
              <w:rPr>
                <w:rFonts w:ascii="Calibri" w:hAnsi="Calibri"/>
                <w:sz w:val="18"/>
              </w:rPr>
              <w:t>Mean Absolute Error (MAE)</w:t>
            </w:r>
          </w:p>
        </w:tc>
        <w:tc>
          <w:tcPr>
            <w:tcW w:type="dxa" w:w="1872"/>
            <w:tcMar>
              <w:top w:w="50" w:type="dxa"/>
              <w:bottom w:w="50" w:type="dxa"/>
              <w:left w:w="80" w:type="dxa"/>
              <w:right w:w="80" w:type="dxa"/>
            </w:tcMar>
            <w:shd w:fill="F2F4F7"/>
          </w:tcPr>
          <w:p>
            <w:pPr>
              <w:spacing w:before="40" w:after="40"/>
              <w:jc w:val="left"/>
            </w:pPr>
            <w:r>
              <w:rPr>
                <w:rFonts w:ascii="Calibri" w:hAnsi="Calibri"/>
                <w:sz w:val="18"/>
              </w:rPr>
              <w:t>0.0739</w:t>
            </w:r>
          </w:p>
        </w:tc>
        <w:tc>
          <w:tcPr>
            <w:tcW w:type="dxa" w:w="1872"/>
            <w:tcMar>
              <w:top w:w="50" w:type="dxa"/>
              <w:bottom w:w="50" w:type="dxa"/>
              <w:left w:w="80" w:type="dxa"/>
              <w:right w:w="80" w:type="dxa"/>
            </w:tcMar>
            <w:shd w:fill="F2F4F7"/>
          </w:tcPr>
          <w:p>
            <w:pPr>
              <w:spacing w:before="40" w:after="40"/>
              <w:jc w:val="left"/>
            </w:pPr>
            <w:r>
              <w:rPr>
                <w:rFonts w:ascii="Calibri" w:hAnsi="Calibri"/>
                <w:sz w:val="18"/>
              </w:rPr>
              <w:t>0.0865</w:t>
            </w:r>
          </w:p>
        </w:tc>
        <w:tc>
          <w:tcPr>
            <w:tcW w:type="dxa" w:w="1872"/>
            <w:tcMar>
              <w:top w:w="50" w:type="dxa"/>
              <w:bottom w:w="50" w:type="dxa"/>
              <w:left w:w="80" w:type="dxa"/>
              <w:right w:w="80" w:type="dxa"/>
            </w:tcMar>
            <w:shd w:fill="F2F4F7"/>
          </w:tcPr>
          <w:p>
            <w:pPr>
              <w:spacing w:before="40" w:after="40"/>
              <w:jc w:val="left"/>
            </w:pPr>
            <w:r>
              <w:rPr>
                <w:rFonts w:ascii="Calibri" w:hAnsi="Calibri"/>
                <w:sz w:val="18"/>
              </w:rPr>
              <w:t>0.0262</w:t>
            </w:r>
          </w:p>
        </w:tc>
        <w:tc>
          <w:tcPr>
            <w:tcW w:type="dxa" w:w="1872"/>
            <w:tcMar>
              <w:top w:w="50" w:type="dxa"/>
              <w:bottom w:w="50" w:type="dxa"/>
              <w:left w:w="80" w:type="dxa"/>
              <w:right w:w="80" w:type="dxa"/>
            </w:tcMar>
            <w:shd w:fill="F2F4F7"/>
          </w:tcPr>
          <w:p>
            <w:pPr>
              <w:spacing w:before="40" w:after="40"/>
              <w:jc w:val="left"/>
            </w:pPr>
            <w:r>
              <w:rPr>
                <w:rFonts w:ascii="Calibri" w:hAnsi="Calibri"/>
                <w:sz w:val="18"/>
              </w:rPr>
              <w:t>Average absolute risk deviation across households.</w:t>
            </w:r>
          </w:p>
        </w:tc>
      </w:tr>
      <w:tr>
        <w:tc>
          <w:tcPr>
            <w:tcW w:type="dxa" w:w="1872"/>
            <w:tcMar>
              <w:top w:w="50" w:type="dxa"/>
              <w:bottom w:w="50" w:type="dxa"/>
              <w:left w:w="80" w:type="dxa"/>
              <w:right w:w="80" w:type="dxa"/>
            </w:tcMar>
            <w:shd w:fill="FFFFFF"/>
          </w:tcPr>
          <w:p>
            <w:pPr>
              <w:spacing w:before="40" w:after="40"/>
              <w:jc w:val="left"/>
            </w:pPr>
            <w:r>
              <w:rPr>
                <w:rFonts w:ascii="Calibri" w:hAnsi="Calibri"/>
                <w:sz w:val="18"/>
              </w:rPr>
              <w:t>Symmetric MAPE (SMAPE)</w:t>
            </w:r>
          </w:p>
        </w:tc>
        <w:tc>
          <w:tcPr>
            <w:tcW w:type="dxa" w:w="1872"/>
            <w:tcMar>
              <w:top w:w="50" w:type="dxa"/>
              <w:bottom w:w="50" w:type="dxa"/>
              <w:left w:w="80" w:type="dxa"/>
              <w:right w:w="80" w:type="dxa"/>
            </w:tcMar>
            <w:shd w:fill="FFFFFF"/>
          </w:tcPr>
          <w:p>
            <w:pPr>
              <w:spacing w:before="40" w:after="40"/>
              <w:jc w:val="left"/>
            </w:pPr>
            <w:r>
              <w:rPr>
                <w:rFonts w:ascii="Calibri" w:hAnsi="Calibri"/>
                <w:sz w:val="18"/>
              </w:rPr>
              <w:t>15.33%</w:t>
            </w:r>
          </w:p>
        </w:tc>
        <w:tc>
          <w:tcPr>
            <w:tcW w:type="dxa" w:w="1872"/>
            <w:tcMar>
              <w:top w:w="50" w:type="dxa"/>
              <w:bottom w:w="50" w:type="dxa"/>
              <w:left w:w="80" w:type="dxa"/>
              <w:right w:w="80" w:type="dxa"/>
            </w:tcMar>
            <w:shd w:fill="FFFFFF"/>
          </w:tcPr>
          <w:p>
            <w:pPr>
              <w:spacing w:before="40" w:after="40"/>
              <w:jc w:val="left"/>
            </w:pPr>
            <w:r>
              <w:rPr>
                <w:rFonts w:ascii="Calibri" w:hAnsi="Calibri"/>
                <w:sz w:val="18"/>
              </w:rPr>
              <w:t>20.19%</w:t>
            </w:r>
          </w:p>
        </w:tc>
        <w:tc>
          <w:tcPr>
            <w:tcW w:type="dxa" w:w="1872"/>
            <w:tcMar>
              <w:top w:w="50" w:type="dxa"/>
              <w:bottom w:w="50" w:type="dxa"/>
              <w:left w:w="80" w:type="dxa"/>
              <w:right w:w="80" w:type="dxa"/>
            </w:tcMar>
            <w:shd w:fill="FFFFFF"/>
          </w:tcPr>
          <w:p>
            <w:pPr>
              <w:spacing w:before="40" w:after="40"/>
              <w:jc w:val="left"/>
            </w:pPr>
            <w:r>
              <w:rPr>
                <w:rFonts w:ascii="Calibri" w:hAnsi="Calibri"/>
                <w:sz w:val="18"/>
              </w:rPr>
              <w:t>9.01%</w:t>
            </w:r>
          </w:p>
        </w:tc>
        <w:tc>
          <w:tcPr>
            <w:tcW w:type="dxa" w:w="1872"/>
            <w:tcMar>
              <w:top w:w="50" w:type="dxa"/>
              <w:bottom w:w="50" w:type="dxa"/>
              <w:left w:w="80" w:type="dxa"/>
              <w:right w:w="80" w:type="dxa"/>
            </w:tcMar>
            <w:shd w:fill="FFFFFF"/>
          </w:tcPr>
          <w:p>
            <w:pPr>
              <w:spacing w:before="40" w:after="40"/>
              <w:jc w:val="left"/>
            </w:pPr>
            <w:r>
              <w:rPr>
                <w:rFonts w:ascii="Calibri" w:hAnsi="Calibri"/>
                <w:sz w:val="18"/>
              </w:rPr>
              <w:t>Scale-independent percentage error penalty.</w:t>
            </w:r>
          </w:p>
        </w:tc>
      </w:tr>
      <w:tr>
        <w:tc>
          <w:tcPr>
            <w:tcW w:type="dxa" w:w="1872"/>
            <w:tcMar>
              <w:top w:w="50" w:type="dxa"/>
              <w:bottom w:w="50" w:type="dxa"/>
              <w:left w:w="80" w:type="dxa"/>
              <w:right w:w="80" w:type="dxa"/>
            </w:tcMar>
            <w:shd w:fill="F2F4F7"/>
          </w:tcPr>
          <w:p>
            <w:pPr>
              <w:spacing w:before="40" w:after="40"/>
              <w:jc w:val="left"/>
            </w:pPr>
            <w:r>
              <w:rPr>
                <w:rFonts w:ascii="Calibri" w:hAnsi="Calibri"/>
                <w:sz w:val="18"/>
              </w:rPr>
              <w:t>Decision Concordance Rate</w:t>
            </w:r>
          </w:p>
        </w:tc>
        <w:tc>
          <w:tcPr>
            <w:tcW w:type="dxa" w:w="1872"/>
            <w:tcMar>
              <w:top w:w="50" w:type="dxa"/>
              <w:bottom w:w="50" w:type="dxa"/>
              <w:left w:w="80" w:type="dxa"/>
              <w:right w:w="80" w:type="dxa"/>
            </w:tcMar>
            <w:shd w:fill="F2F4F7"/>
          </w:tcPr>
          <w:p>
            <w:pPr>
              <w:spacing w:before="40" w:after="40"/>
              <w:jc w:val="left"/>
            </w:pPr>
            <w:r>
              <w:rPr>
                <w:rFonts w:ascii="Calibri" w:hAnsi="Calibri"/>
                <w:sz w:val="18"/>
              </w:rPr>
              <w:t>100.0% (Ref)</w:t>
            </w:r>
          </w:p>
        </w:tc>
        <w:tc>
          <w:tcPr>
            <w:tcW w:type="dxa" w:w="1872"/>
            <w:tcMar>
              <w:top w:w="50" w:type="dxa"/>
              <w:bottom w:w="50" w:type="dxa"/>
              <w:left w:w="80" w:type="dxa"/>
              <w:right w:w="80" w:type="dxa"/>
            </w:tcMar>
            <w:shd w:fill="F2F4F7"/>
          </w:tcPr>
          <w:p>
            <w:pPr>
              <w:spacing w:before="40" w:after="40"/>
              <w:jc w:val="left"/>
            </w:pPr>
            <w:r>
              <w:rPr>
                <w:rFonts w:ascii="Calibri" w:hAnsi="Calibri"/>
                <w:sz w:val="18"/>
              </w:rPr>
              <w:t>99.72%</w:t>
            </w:r>
          </w:p>
        </w:tc>
        <w:tc>
          <w:tcPr>
            <w:tcW w:type="dxa" w:w="1872"/>
            <w:tcMar>
              <w:top w:w="50" w:type="dxa"/>
              <w:bottom w:w="50" w:type="dxa"/>
              <w:left w:w="80" w:type="dxa"/>
              <w:right w:w="80" w:type="dxa"/>
            </w:tcMar>
            <w:shd w:fill="F2F4F7"/>
          </w:tcPr>
          <w:p>
            <w:pPr>
              <w:spacing w:before="40" w:after="40"/>
              <w:jc w:val="left"/>
            </w:pPr>
            <w:r>
              <w:rPr>
                <w:rFonts w:ascii="Calibri" w:hAnsi="Calibri"/>
                <w:sz w:val="18"/>
              </w:rPr>
              <w:t>99.72%</w:t>
            </w:r>
          </w:p>
        </w:tc>
        <w:tc>
          <w:tcPr>
            <w:tcW w:type="dxa" w:w="1872"/>
            <w:tcMar>
              <w:top w:w="50" w:type="dxa"/>
              <w:bottom w:w="50" w:type="dxa"/>
              <w:left w:w="80" w:type="dxa"/>
              <w:right w:w="80" w:type="dxa"/>
            </w:tcMar>
            <w:shd w:fill="F2F4F7"/>
          </w:tcPr>
          <w:p>
            <w:pPr>
              <w:spacing w:before="40" w:after="40"/>
              <w:jc w:val="left"/>
            </w:pPr>
            <w:r>
              <w:rPr>
                <w:rFonts w:ascii="Calibri" w:hAnsi="Calibri"/>
                <w:sz w:val="18"/>
              </w:rPr>
              <w:t>Exact agreement on Burden (&gt;50%) vs No Burden (≤50%).</w:t>
            </w:r>
          </w:p>
        </w:tc>
      </w:tr>
      <w:tr>
        <w:tc>
          <w:tcPr>
            <w:tcW w:type="dxa" w:w="1872"/>
            <w:tcMar>
              <w:top w:w="50" w:type="dxa"/>
              <w:bottom w:w="50" w:type="dxa"/>
              <w:left w:w="80" w:type="dxa"/>
              <w:right w:w="80" w:type="dxa"/>
            </w:tcMar>
            <w:shd w:fill="FFFFFF"/>
          </w:tcPr>
          <w:p>
            <w:pPr>
              <w:spacing w:before="40" w:after="40"/>
              <w:jc w:val="left"/>
            </w:pPr>
            <w:r>
              <w:rPr>
                <w:rFonts w:ascii="Calibri" w:hAnsi="Calibri"/>
                <w:sz w:val="18"/>
              </w:rPr>
              <w:t>Baseline Intercept (β₀)</w:t>
            </w:r>
          </w:p>
        </w:tc>
        <w:tc>
          <w:tcPr>
            <w:tcW w:type="dxa" w:w="1872"/>
            <w:tcMar>
              <w:top w:w="50" w:type="dxa"/>
              <w:bottom w:w="50" w:type="dxa"/>
              <w:left w:w="80" w:type="dxa"/>
              <w:right w:w="80" w:type="dxa"/>
            </w:tcMar>
            <w:shd w:fill="FFFFFF"/>
          </w:tcPr>
          <w:p>
            <w:pPr>
              <w:spacing w:before="40" w:after="40"/>
              <w:jc w:val="left"/>
            </w:pPr>
            <w:r>
              <w:rPr>
                <w:rFonts w:ascii="Calibri" w:hAnsi="Calibri"/>
                <w:sz w:val="18"/>
              </w:rPr>
              <w:t>Nonlinear GAM</w:t>
            </w:r>
          </w:p>
        </w:tc>
        <w:tc>
          <w:tcPr>
            <w:tcW w:type="dxa" w:w="1872"/>
            <w:tcMar>
              <w:top w:w="50" w:type="dxa"/>
              <w:bottom w:w="50" w:type="dxa"/>
              <w:left w:w="80" w:type="dxa"/>
              <w:right w:w="80" w:type="dxa"/>
            </w:tcMar>
            <w:shd w:fill="FFFFFF"/>
          </w:tcPr>
          <w:p>
            <w:pPr>
              <w:spacing w:before="40" w:after="40"/>
              <w:jc w:val="left"/>
            </w:pPr>
            <w:r>
              <w:rPr>
                <w:rFonts w:ascii="Calibri" w:hAnsi="Calibri"/>
                <w:sz w:val="18"/>
              </w:rPr>
              <w:t>0.4442</w:t>
            </w:r>
          </w:p>
        </w:tc>
        <w:tc>
          <w:tcPr>
            <w:tcW w:type="dxa" w:w="1872"/>
            <w:tcMar>
              <w:top w:w="50" w:type="dxa"/>
              <w:bottom w:w="50" w:type="dxa"/>
              <w:left w:w="80" w:type="dxa"/>
              <w:right w:w="80" w:type="dxa"/>
            </w:tcMar>
            <w:shd w:fill="FFFFFF"/>
          </w:tcPr>
          <w:p>
            <w:pPr>
              <w:spacing w:before="40" w:after="40"/>
              <w:jc w:val="left"/>
            </w:pPr>
            <w:r>
              <w:rPr>
                <w:rFonts w:ascii="Calibri" w:hAnsi="Calibri"/>
                <w:sz w:val="18"/>
              </w:rPr>
              <w:t>Exact Matching</w:t>
            </w:r>
          </w:p>
        </w:tc>
        <w:tc>
          <w:tcPr>
            <w:tcW w:type="dxa" w:w="1872"/>
            <w:tcMar>
              <w:top w:w="50" w:type="dxa"/>
              <w:bottom w:w="50" w:type="dxa"/>
              <w:left w:w="80" w:type="dxa"/>
              <w:right w:w="80" w:type="dxa"/>
            </w:tcMar>
            <w:shd w:fill="FFFFFF"/>
          </w:tcPr>
          <w:p>
            <w:pPr>
              <w:spacing w:before="40" w:after="40"/>
              <w:jc w:val="left"/>
            </w:pPr>
            <w:r>
              <w:rPr>
                <w:rFonts w:ascii="Calibri" w:hAnsi="Calibri"/>
                <w:sz w:val="18"/>
              </w:rPr>
              <w:t>Global average baseline malaria burden risk.</w:t>
            </w:r>
          </w:p>
        </w:tc>
      </w:tr>
      <w:tr>
        <w:tc>
          <w:tcPr>
            <w:tcW w:type="dxa" w:w="1872"/>
            <w:tcMar>
              <w:top w:w="50" w:type="dxa"/>
              <w:bottom w:w="50" w:type="dxa"/>
              <w:left w:w="80" w:type="dxa"/>
              <w:right w:w="80" w:type="dxa"/>
            </w:tcMar>
            <w:shd w:fill="F2F4F7"/>
          </w:tcPr>
          <w:p>
            <w:pPr>
              <w:spacing w:before="40" w:after="40"/>
              <w:jc w:val="left"/>
            </w:pPr>
            <w:r>
              <w:rPr>
                <w:rFonts w:ascii="Calibri" w:hAnsi="Calibri"/>
                <w:sz w:val="18"/>
              </w:rPr>
              <w:t>Additive Predictor Terms (K)</w:t>
            </w:r>
          </w:p>
        </w:tc>
        <w:tc>
          <w:tcPr>
            <w:tcW w:type="dxa" w:w="1872"/>
            <w:tcMar>
              <w:top w:w="50" w:type="dxa"/>
              <w:bottom w:w="50" w:type="dxa"/>
              <w:left w:w="80" w:type="dxa"/>
              <w:right w:w="80" w:type="dxa"/>
            </w:tcMar>
            <w:shd w:fill="F2F4F7"/>
          </w:tcPr>
          <w:p>
            <w:pPr>
              <w:spacing w:before="40" w:after="40"/>
              <w:jc w:val="left"/>
            </w:pPr>
            <w:r>
              <w:rPr>
                <w:rFonts w:ascii="Calibri" w:hAnsi="Calibri"/>
                <w:sz w:val="18"/>
              </w:rPr>
              <w:t>20 Splines</w:t>
            </w:r>
          </w:p>
        </w:tc>
        <w:tc>
          <w:tcPr>
            <w:tcW w:type="dxa" w:w="1872"/>
            <w:tcMar>
              <w:top w:w="50" w:type="dxa"/>
              <w:bottom w:w="50" w:type="dxa"/>
              <w:left w:w="80" w:type="dxa"/>
              <w:right w:w="80" w:type="dxa"/>
            </w:tcMar>
            <w:shd w:fill="F2F4F7"/>
          </w:tcPr>
          <w:p>
            <w:pPr>
              <w:spacing w:before="40" w:after="40"/>
              <w:jc w:val="left"/>
            </w:pPr>
            <w:r>
              <w:rPr>
                <w:rFonts w:ascii="Calibri" w:hAnsi="Calibri"/>
                <w:sz w:val="18"/>
              </w:rPr>
              <w:t>20 Univariate Terms</w:t>
            </w:r>
          </w:p>
        </w:tc>
        <w:tc>
          <w:tcPr>
            <w:tcW w:type="dxa" w:w="1872"/>
            <w:tcMar>
              <w:top w:w="50" w:type="dxa"/>
              <w:bottom w:w="50" w:type="dxa"/>
              <w:left w:w="80" w:type="dxa"/>
              <w:right w:w="80" w:type="dxa"/>
            </w:tcMar>
            <w:shd w:fill="F2F4F7"/>
          </w:tcPr>
          <w:p>
            <w:pPr>
              <w:spacing w:before="40" w:after="40"/>
              <w:jc w:val="left"/>
            </w:pPr>
            <w:r>
              <w:rPr>
                <w:rFonts w:ascii="Calibri" w:hAnsi="Calibri"/>
                <w:sz w:val="18"/>
              </w:rPr>
              <w:t>Exact 1-to-1</w:t>
            </w:r>
          </w:p>
        </w:tc>
        <w:tc>
          <w:tcPr>
            <w:tcW w:type="dxa" w:w="1872"/>
            <w:tcMar>
              <w:top w:w="50" w:type="dxa"/>
              <w:bottom w:w="50" w:type="dxa"/>
              <w:left w:w="80" w:type="dxa"/>
              <w:right w:w="80" w:type="dxa"/>
            </w:tcMar>
            <w:shd w:fill="F2F4F7"/>
          </w:tcPr>
          <w:p>
            <w:pPr>
              <w:spacing w:before="40" w:after="40"/>
              <w:jc w:val="left"/>
            </w:pPr>
            <w:r>
              <w:rPr>
                <w:rFonts w:ascii="Calibri" w:hAnsi="Calibri"/>
                <w:sz w:val="18"/>
              </w:rPr>
              <w:t>Selected high-importance predictor dimensions.</w:t>
            </w:r>
          </w:p>
        </w:tc>
      </w:tr>
      <w:tr>
        <w:tc>
          <w:tcPr>
            <w:tcW w:type="dxa" w:w="1872"/>
            <w:tcMar>
              <w:top w:w="50" w:type="dxa"/>
              <w:bottom w:w="50" w:type="dxa"/>
              <w:left w:w="80" w:type="dxa"/>
              <w:right w:w="80" w:type="dxa"/>
            </w:tcMar>
            <w:shd w:fill="FFFFFF"/>
          </w:tcPr>
          <w:p>
            <w:pPr>
              <w:spacing w:before="40" w:after="40"/>
              <w:jc w:val="left"/>
            </w:pPr>
            <w:r>
              <w:rPr>
                <w:rFonts w:ascii="Calibri" w:hAnsi="Calibri"/>
                <w:sz w:val="18"/>
              </w:rPr>
              <w:t>Boosting Cycles &amp; Trees</w:t>
            </w:r>
          </w:p>
        </w:tc>
        <w:tc>
          <w:tcPr>
            <w:tcW w:type="dxa" w:w="1872"/>
            <w:tcMar>
              <w:top w:w="50" w:type="dxa"/>
              <w:bottom w:w="50" w:type="dxa"/>
              <w:left w:w="80" w:type="dxa"/>
              <w:right w:w="80" w:type="dxa"/>
            </w:tcMar>
            <w:shd w:fill="FFFFFF"/>
          </w:tcPr>
          <w:p>
            <w:pPr>
              <w:spacing w:before="40" w:after="40"/>
              <w:jc w:val="left"/>
            </w:pPr>
            <w:r>
              <w:rPr>
                <w:rFonts w:ascii="Calibri" w:hAnsi="Calibri"/>
                <w:sz w:val="18"/>
              </w:rPr>
              <w:t>400 Stages</w:t>
            </w:r>
          </w:p>
        </w:tc>
        <w:tc>
          <w:tcPr>
            <w:tcW w:type="dxa" w:w="1872"/>
            <w:tcMar>
              <w:top w:w="50" w:type="dxa"/>
              <w:bottom w:w="50" w:type="dxa"/>
              <w:left w:w="80" w:type="dxa"/>
              <w:right w:w="80" w:type="dxa"/>
            </w:tcMar>
            <w:shd w:fill="FFFFFF"/>
          </w:tcPr>
          <w:p>
            <w:pPr>
              <w:spacing w:before="40" w:after="40"/>
              <w:jc w:val="left"/>
            </w:pPr>
            <w:r>
              <w:rPr>
                <w:rFonts w:ascii="Calibri" w:hAnsi="Calibri"/>
                <w:sz w:val="18"/>
              </w:rPr>
              <w:t>100 Cycles (2000 Trees)</w:t>
            </w:r>
          </w:p>
        </w:tc>
        <w:tc>
          <w:tcPr>
            <w:tcW w:type="dxa" w:w="1872"/>
            <w:tcMar>
              <w:top w:w="50" w:type="dxa"/>
              <w:bottom w:w="50" w:type="dxa"/>
              <w:left w:w="80" w:type="dxa"/>
              <w:right w:w="80" w:type="dxa"/>
            </w:tcMar>
            <w:shd w:fill="FFFFFF"/>
          </w:tcPr>
          <w:p>
            <w:pPr>
              <w:spacing w:before="40" w:after="40"/>
              <w:jc w:val="left"/>
            </w:pPr>
            <w:r>
              <w:rPr>
                <w:rFonts w:ascii="Calibri" w:hAnsi="Calibri"/>
                <w:sz w:val="18"/>
              </w:rPr>
              <w:t>High-Capacity</w:t>
            </w:r>
          </w:p>
        </w:tc>
        <w:tc>
          <w:tcPr>
            <w:tcW w:type="dxa" w:w="1872"/>
            <w:tcMar>
              <w:top w:w="50" w:type="dxa"/>
              <w:bottom w:w="50" w:type="dxa"/>
              <w:left w:w="80" w:type="dxa"/>
              <w:right w:w="80" w:type="dxa"/>
            </w:tcMar>
            <w:shd w:fill="FFFFFF"/>
          </w:tcPr>
          <w:p>
            <w:pPr>
              <w:spacing w:before="40" w:after="40"/>
              <w:jc w:val="left"/>
            </w:pPr>
            <w:r>
              <w:rPr>
                <w:rFonts w:ascii="Calibri" w:hAnsi="Calibri"/>
                <w:sz w:val="18"/>
              </w:rPr>
              <w:t>Coordinate cyclic univariate shallow decision trees.</w:t>
            </w:r>
          </w:p>
        </w:tc>
      </w:tr>
    </w:tbl>
    <w:p>
      <w:pPr>
        <w:spacing w:before="240" w:after="80"/>
      </w:pPr>
      <w:r>
        <w:rPr>
          <w:rFonts w:ascii="Calibri" w:hAnsi="Calibri"/>
          <w:b/>
          <w:color w:val="2E75B6"/>
          <w:sz w:val="26"/>
        </w:rPr>
        <w:t>Surrogate Fidelity Residual Normality and Error Distribution</w:t>
      </w:r>
    </w:p>
    <w:p>
      <w:r>
        <w:drawing>
          <wp:inline xmlns:a="http://schemas.openxmlformats.org/drawingml/2006/main" xmlns:pic="http://schemas.openxmlformats.org/drawingml/2006/picture">
            <wp:extent cx="5029200" cy="3352800"/>
            <wp:docPr id="7" name="Picture 7"/>
            <wp:cNvGraphicFramePr>
              <a:graphicFrameLocks noChangeAspect="1"/>
            </wp:cNvGraphicFramePr>
            <a:graphic>
              <a:graphicData uri="http://schemas.openxmlformats.org/drawingml/2006/picture">
                <pic:pic>
                  <pic:nvPicPr>
                    <pic:cNvPr id="0" name="fig4_5_residual_normality.png"/>
                    <pic:cNvPicPr/>
                  </pic:nvPicPr>
                  <pic:blipFill>
                    <a:blip r:embed="rId15"/>
                    <a:stretch>
                      <a:fillRect/>
                    </a:stretch>
                  </pic:blipFill>
                  <pic:spPr>
                    <a:xfrm>
                      <a:off x="0" y="0"/>
                      <a:ext cx="5029200" cy="3352800"/>
                    </a:xfrm>
                    <a:prstGeom prst="rect"/>
                  </pic:spPr>
                </pic:pic>
              </a:graphicData>
            </a:graphic>
          </wp:inline>
        </w:drawing>
      </w:r>
    </w:p>
    <w:p>
      <w:pPr>
        <w:spacing w:after="160"/>
        <w:jc w:val="center"/>
      </w:pPr>
      <w:r>
        <w:rPr>
          <w:b/>
          <w:sz w:val="19"/>
        </w:rPr>
        <w:t>Fig 4.7: EBM Surrogate Fidelity Residual Distribution (Zero-Mean Bias)</w:t>
        <w:br/>
      </w:r>
    </w:p>
    <w:p>
      <w:pPr>
        <w:spacing w:line="276" w:lineRule="auto" w:after="200"/>
      </w:pPr>
      <w:r>
        <w:rPr>
          <w:rFonts w:ascii="Calibri" w:hAnsi="Calibri"/>
        </w:rPr>
        <w:t>Fig 4.7 presents the distribution of residual errors between the STAR model and the EBM explainer (Residual = STAR - EBM). The horizontal axis represents residual error, while the vertical axis depicts probability density. The green histogram bars and the red Kernel Density Estimation (KDE) curve exhibit strong Gaussian symmetry centered at a mean of 0.0000 (virtually zero). The absence of heavy skewness or multi-modality indicates that the EBM's additive approximations are homoscedastic and unbiased, fulfilling the theoretical assumptions required for reliable glassbox surrogate modeling.</w:t>
      </w:r>
    </w:p>
    <w:p>
      <w:pPr>
        <w:spacing w:before="200" w:after="80"/>
      </w:pPr>
      <w:r>
        <w:rPr>
          <w:rFonts w:ascii="Calibri" w:hAnsi="Calibri"/>
          <w:b/>
          <w:color w:val="2E75B6"/>
          <w:sz w:val="26"/>
        </w:rPr>
        <w:t>Global Feature Importance &amp; Additive Impact Across Households</w:t>
      </w:r>
    </w:p>
    <w:p>
      <w:r>
        <w:drawing>
          <wp:inline xmlns:a="http://schemas.openxmlformats.org/drawingml/2006/main" xmlns:pic="http://schemas.openxmlformats.org/drawingml/2006/picture">
            <wp:extent cx="5486400" cy="4114800"/>
            <wp:docPr id="8" name="Picture 8"/>
            <wp:cNvGraphicFramePr>
              <a:graphicFrameLocks noChangeAspect="1"/>
            </wp:cNvGraphicFramePr>
            <a:graphic>
              <a:graphicData uri="http://schemas.openxmlformats.org/drawingml/2006/picture">
                <pic:pic>
                  <pic:nvPicPr>
                    <pic:cNvPr id="0" name="fig4_8_global_importance.png"/>
                    <pic:cNvPicPr/>
                  </pic:nvPicPr>
                  <pic:blipFill>
                    <a:blip r:embed="rId16"/>
                    <a:stretch>
                      <a:fillRect/>
                    </a:stretch>
                  </pic:blipFill>
                  <pic:spPr>
                    <a:xfrm>
                      <a:off x="0" y="0"/>
                      <a:ext cx="5486400" cy="4114800"/>
                    </a:xfrm>
                    <a:prstGeom prst="rect"/>
                  </pic:spPr>
                </pic:pic>
              </a:graphicData>
            </a:graphic>
          </wp:inline>
        </w:drawing>
      </w:r>
    </w:p>
    <w:p>
      <w:pPr>
        <w:spacing w:after="160"/>
        <w:jc w:val="center"/>
      </w:pPr>
      <w:r>
        <w:rPr>
          <w:b/>
          <w:sz w:val="19"/>
        </w:rPr>
        <w:t>Fig 4.8: Global Feature Importance &amp; EBM Mean Absolute Additive Impact</w:t>
        <w:br/>
      </w:r>
    </w:p>
    <w:p>
      <w:pPr>
        <w:spacing w:line="276" w:lineRule="auto" w:after="200"/>
      </w:pPr>
      <w:r>
        <w:rPr>
          <w:rFonts w:ascii="Calibri" w:hAnsi="Calibri"/>
        </w:rPr>
        <w:t>Fig 4.8 illustrates the global feature importance rankings determined by the EBM's mean absolute additive score across the population (Mean |f_j(x_j)|). The analysis reveals that the primary drivers of household malaria burden are: (1) Number of malaria cases in the preceding 6 weeks, (2) Bed net possession and type (insecticide-treated vs. untreated/none), (3) Source of domestic drinking water (treated vs. untreated surface water), (4) Child testing compliance, (5) Monthly household income, and (6) Direct treatment costs incurred. Features related to sanitary infrastructure (toilet type) and work loss duration also exert significant additive effects. Unlike black-box feature importance metrics that only report an abstract percentage, the EBM directly quantifies the exact numerical displacement each feature causes on the predicted probability.</w:t>
      </w:r>
    </w:p>
    <w:p>
      <w:pPr>
        <w:spacing w:before="280" w:after="120"/>
      </w:pPr>
      <w:r>
        <w:rPr>
          <w:rFonts w:ascii="Calibri" w:hAnsi="Calibri"/>
          <w:b/>
          <w:color w:val="1F4E79"/>
          <w:sz w:val="30"/>
        </w:rPr>
        <w:t>4.6 Discussion of Results and Findings</w:t>
      </w:r>
    </w:p>
    <w:p>
      <w:pPr>
        <w:spacing w:before="160" w:after="80"/>
      </w:pPr>
      <w:r>
        <w:rPr>
          <w:rFonts w:ascii="Calibri" w:hAnsi="Calibri"/>
          <w:b/>
          <w:color w:val="2E75B6"/>
          <w:sz w:val="26"/>
        </w:rPr>
        <w:t>4.6.1 Summary of Model Report and Accuracy</w:t>
      </w:r>
    </w:p>
    <w:p>
      <w:pPr>
        <w:spacing w:line="276" w:lineRule="auto" w:after="160"/>
      </w:pPr>
      <w:r>
        <w:rPr>
          <w:rFonts w:ascii="Calibri" w:hAnsi="Calibri"/>
        </w:rPr>
        <w:t>The overall performance of the proposed Malaria Burden Predictive System and its Explainable Boosting Machine (EBM) surrogate explainer was synthesized across all continuous regression metrics and discrete classification parameters. Table 4.3 summarizes the master empirical evaluation report for the complete architecture.</w:t>
      </w:r>
    </w:p>
    <w:p>
      <w:pPr>
        <w:spacing w:before="120" w:after="80"/>
      </w:pPr>
      <w:r>
        <w:rPr>
          <w:rFonts w:ascii="Calibri" w:hAnsi="Calibri"/>
          <w:b/>
          <w:color w:val="1F4E79"/>
        </w:rPr>
        <w:t>Table 4.3: Master Performance Summary of the STAR-EBM Predictive Architecture</w:t>
      </w:r>
    </w:p>
    <w:tbl>
      <w:tblPr>
        <w:tblW w:type="auto" w:w="0"/>
        <w:jc w:val="center"/>
        <w:tblLook w:firstColumn="1" w:firstRow="1" w:lastColumn="0" w:lastRow="0" w:noHBand="0" w:noVBand="1" w:val="04A0"/>
        <w:tblBorders>
          <w:top w:val="single" w:sz="6" w:space="0" w:color="1F4E79"/>
          <w:bottom w:val="single" w:sz="8" w:space="0" w:color="1F4E79"/>
          <w:insideH w:val="single" w:sz="4" w:space="0" w:color="D3D3D3"/>
          <w:insideV w:val="none"/>
          <w:left w:val="none"/>
          <w:right w:val="none"/>
        </w:tblBorders>
      </w:tblPr>
      <w:tblGrid>
        <w:gridCol w:w="1872"/>
        <w:gridCol w:w="1872"/>
        <w:gridCol w:w="1872"/>
        <w:gridCol w:w="1872"/>
        <w:gridCol w:w="1872"/>
      </w:tblGrid>
      <w:tr>
        <w:tc>
          <w:tcPr>
            <w:tcW w:type="dxa" w:w="1872"/>
            <w:tcMar>
              <w:top w:w="50" w:type="dxa"/>
              <w:bottom w:w="50" w:type="dxa"/>
              <w:left w:w="80" w:type="dxa"/>
              <w:right w:w="80" w:type="dxa"/>
            </w:tcMar>
            <w:shd w:fill="1F4E79"/>
          </w:tcPr>
          <w:p>
            <w:pPr>
              <w:spacing w:before="40" w:after="40"/>
              <w:jc w:val="left"/>
            </w:pPr>
            <w:r>
              <w:rPr>
                <w:rFonts w:ascii="Calibri" w:hAnsi="Calibri"/>
                <w:b/>
                <w:color w:val="FFFFFF"/>
                <w:sz w:val="18"/>
              </w:rPr>
              <w:t>S/N</w:t>
            </w:r>
          </w:p>
        </w:tc>
        <w:tc>
          <w:tcPr>
            <w:tcW w:type="dxa" w:w="1872"/>
            <w:tcMar>
              <w:top w:w="50" w:type="dxa"/>
              <w:bottom w:w="50" w:type="dxa"/>
              <w:left w:w="80" w:type="dxa"/>
              <w:right w:w="80" w:type="dxa"/>
            </w:tcMar>
            <w:shd w:fill="1F4E79"/>
          </w:tcPr>
          <w:p>
            <w:pPr>
              <w:spacing w:before="40" w:after="40"/>
              <w:jc w:val="left"/>
            </w:pPr>
            <w:r>
              <w:rPr>
                <w:rFonts w:ascii="Calibri" w:hAnsi="Calibri"/>
                <w:b/>
                <w:color w:val="FFFFFF"/>
                <w:sz w:val="18"/>
              </w:rPr>
              <w:t>Evaluation Metric / Parameter</w:t>
            </w:r>
          </w:p>
        </w:tc>
        <w:tc>
          <w:tcPr>
            <w:tcW w:type="dxa" w:w="1872"/>
            <w:tcMar>
              <w:top w:w="50" w:type="dxa"/>
              <w:bottom w:w="50" w:type="dxa"/>
              <w:left w:w="80" w:type="dxa"/>
              <w:right w:w="80" w:type="dxa"/>
            </w:tcMar>
            <w:shd w:fill="1F4E79"/>
          </w:tcPr>
          <w:p>
            <w:pPr>
              <w:spacing w:before="40" w:after="40"/>
              <w:jc w:val="left"/>
            </w:pPr>
            <w:r>
              <w:rPr>
                <w:rFonts w:ascii="Calibri" w:hAnsi="Calibri"/>
                <w:b/>
                <w:color w:val="FFFFFF"/>
                <w:sz w:val="18"/>
              </w:rPr>
              <w:t>STAR Primary Model</w:t>
            </w:r>
          </w:p>
        </w:tc>
        <w:tc>
          <w:tcPr>
            <w:tcW w:type="dxa" w:w="1872"/>
            <w:tcMar>
              <w:top w:w="50" w:type="dxa"/>
              <w:bottom w:w="50" w:type="dxa"/>
              <w:left w:w="80" w:type="dxa"/>
              <w:right w:w="80" w:type="dxa"/>
            </w:tcMar>
            <w:shd w:fill="1F4E79"/>
          </w:tcPr>
          <w:p>
            <w:pPr>
              <w:spacing w:before="40" w:after="40"/>
              <w:jc w:val="left"/>
            </w:pPr>
            <w:r>
              <w:rPr>
                <w:rFonts w:ascii="Calibri" w:hAnsi="Calibri"/>
                <w:b/>
                <w:color w:val="FFFFFF"/>
                <w:sz w:val="18"/>
              </w:rPr>
              <w:t>EBM Glassbox Explainer</w:t>
            </w:r>
          </w:p>
        </w:tc>
        <w:tc>
          <w:tcPr>
            <w:tcW w:type="dxa" w:w="1872"/>
            <w:tcMar>
              <w:top w:w="50" w:type="dxa"/>
              <w:bottom w:w="50" w:type="dxa"/>
              <w:left w:w="80" w:type="dxa"/>
              <w:right w:w="80" w:type="dxa"/>
            </w:tcMar>
            <w:shd w:fill="1F4E79"/>
          </w:tcPr>
          <w:p>
            <w:pPr>
              <w:spacing w:before="40" w:after="40"/>
              <w:jc w:val="left"/>
            </w:pPr>
            <w:r>
              <w:rPr>
                <w:rFonts w:ascii="Calibri" w:hAnsi="Calibri"/>
                <w:b/>
                <w:color w:val="FFFFFF"/>
                <w:sz w:val="18"/>
              </w:rPr>
              <w:t>Clinical / Architectural Benchmark</w:t>
            </w:r>
          </w:p>
        </w:tc>
      </w:tr>
      <w:tr>
        <w:tc>
          <w:tcPr>
            <w:tcW w:type="dxa" w:w="1872"/>
            <w:tcMar>
              <w:top w:w="50" w:type="dxa"/>
              <w:bottom w:w="50" w:type="dxa"/>
              <w:left w:w="80" w:type="dxa"/>
              <w:right w:w="80" w:type="dxa"/>
            </w:tcMar>
            <w:shd w:fill="F2F4F7"/>
          </w:tcPr>
          <w:p>
            <w:pPr>
              <w:spacing w:before="40" w:after="40"/>
              <w:jc w:val="left"/>
            </w:pPr>
            <w:r>
              <w:rPr>
                <w:rFonts w:ascii="Calibri" w:hAnsi="Calibri"/>
                <w:sz w:val="18"/>
              </w:rPr>
              <w:t>1</w:t>
            </w:r>
          </w:p>
        </w:tc>
        <w:tc>
          <w:tcPr>
            <w:tcW w:type="dxa" w:w="1872"/>
            <w:tcMar>
              <w:top w:w="50" w:type="dxa"/>
              <w:bottom w:w="50" w:type="dxa"/>
              <w:left w:w="80" w:type="dxa"/>
              <w:right w:w="80" w:type="dxa"/>
            </w:tcMar>
            <w:shd w:fill="F2F4F7"/>
          </w:tcPr>
          <w:p>
            <w:pPr>
              <w:spacing w:before="40" w:after="40"/>
              <w:jc w:val="left"/>
            </w:pPr>
            <w:r>
              <w:rPr>
                <w:rFonts w:ascii="Calibri" w:hAnsi="Calibri"/>
                <w:sz w:val="18"/>
              </w:rPr>
              <w:t>Classification Accuracy</w:t>
            </w:r>
          </w:p>
        </w:tc>
        <w:tc>
          <w:tcPr>
            <w:tcW w:type="dxa" w:w="1872"/>
            <w:tcMar>
              <w:top w:w="50" w:type="dxa"/>
              <w:bottom w:w="50" w:type="dxa"/>
              <w:left w:w="80" w:type="dxa"/>
              <w:right w:w="80" w:type="dxa"/>
            </w:tcMar>
            <w:shd w:fill="F2F4F7"/>
          </w:tcPr>
          <w:p>
            <w:pPr>
              <w:spacing w:before="40" w:after="40"/>
              <w:jc w:val="left"/>
            </w:pPr>
            <w:r>
              <w:rPr>
                <w:rFonts w:ascii="Calibri" w:hAnsi="Calibri"/>
                <w:sz w:val="18"/>
              </w:rPr>
              <w:t>99.55%</w:t>
            </w:r>
          </w:p>
        </w:tc>
        <w:tc>
          <w:tcPr>
            <w:tcW w:type="dxa" w:w="1872"/>
            <w:tcMar>
              <w:top w:w="50" w:type="dxa"/>
              <w:bottom w:w="50" w:type="dxa"/>
              <w:left w:w="80" w:type="dxa"/>
              <w:right w:w="80" w:type="dxa"/>
            </w:tcMar>
            <w:shd w:fill="F2F4F7"/>
          </w:tcPr>
          <w:p>
            <w:pPr>
              <w:spacing w:before="40" w:after="40"/>
              <w:jc w:val="left"/>
            </w:pPr>
            <w:r>
              <w:rPr>
                <w:rFonts w:ascii="Calibri" w:hAnsi="Calibri"/>
                <w:sz w:val="18"/>
              </w:rPr>
              <w:t>99.38%</w:t>
            </w:r>
          </w:p>
        </w:tc>
        <w:tc>
          <w:tcPr>
            <w:tcW w:type="dxa" w:w="1872"/>
            <w:tcMar>
              <w:top w:w="50" w:type="dxa"/>
              <w:bottom w:w="50" w:type="dxa"/>
              <w:left w:w="80" w:type="dxa"/>
              <w:right w:w="80" w:type="dxa"/>
            </w:tcMar>
            <w:shd w:fill="F2F4F7"/>
          </w:tcPr>
          <w:p>
            <w:pPr>
              <w:spacing w:before="40" w:after="40"/>
              <w:jc w:val="left"/>
            </w:pPr>
            <w:r>
              <w:rPr>
                <w:rFonts w:ascii="Calibri" w:hAnsi="Calibri"/>
                <w:sz w:val="18"/>
              </w:rPr>
              <w:t>Benchmark: ≥ 90.0% (Clinical standard)</w:t>
            </w:r>
          </w:p>
        </w:tc>
      </w:tr>
      <w:tr>
        <w:tc>
          <w:tcPr>
            <w:tcW w:type="dxa" w:w="1872"/>
            <w:tcMar>
              <w:top w:w="50" w:type="dxa"/>
              <w:bottom w:w="50" w:type="dxa"/>
              <w:left w:w="80" w:type="dxa"/>
              <w:right w:w="80" w:type="dxa"/>
            </w:tcMar>
            <w:shd w:fill="FFFFFF"/>
          </w:tcPr>
          <w:p>
            <w:pPr>
              <w:spacing w:before="40" w:after="40"/>
              <w:jc w:val="left"/>
            </w:pPr>
            <w:r>
              <w:rPr>
                <w:rFonts w:ascii="Calibri" w:hAnsi="Calibri"/>
                <w:sz w:val="18"/>
              </w:rPr>
              <w:t>2</w:t>
            </w:r>
          </w:p>
        </w:tc>
        <w:tc>
          <w:tcPr>
            <w:tcW w:type="dxa" w:w="1872"/>
            <w:tcMar>
              <w:top w:w="50" w:type="dxa"/>
              <w:bottom w:w="50" w:type="dxa"/>
              <w:left w:w="80" w:type="dxa"/>
              <w:right w:w="80" w:type="dxa"/>
            </w:tcMar>
            <w:shd w:fill="FFFFFF"/>
          </w:tcPr>
          <w:p>
            <w:pPr>
              <w:spacing w:before="40" w:after="40"/>
              <w:jc w:val="left"/>
            </w:pPr>
            <w:r>
              <w:rPr>
                <w:rFonts w:ascii="Calibri" w:hAnsi="Calibri"/>
                <w:sz w:val="18"/>
              </w:rPr>
              <w:t>Precision (Positive Predictive Value)</w:t>
            </w:r>
          </w:p>
        </w:tc>
        <w:tc>
          <w:tcPr>
            <w:tcW w:type="dxa" w:w="1872"/>
            <w:tcMar>
              <w:top w:w="50" w:type="dxa"/>
              <w:bottom w:w="50" w:type="dxa"/>
              <w:left w:w="80" w:type="dxa"/>
              <w:right w:w="80" w:type="dxa"/>
            </w:tcMar>
            <w:shd w:fill="FFFFFF"/>
          </w:tcPr>
          <w:p>
            <w:pPr>
              <w:spacing w:before="40" w:after="40"/>
              <w:jc w:val="left"/>
            </w:pPr>
            <w:r>
              <w:rPr>
                <w:rFonts w:ascii="Calibri" w:hAnsi="Calibri"/>
                <w:sz w:val="18"/>
              </w:rPr>
              <w:t>100.00%</w:t>
            </w:r>
          </w:p>
        </w:tc>
        <w:tc>
          <w:tcPr>
            <w:tcW w:type="dxa" w:w="1872"/>
            <w:tcMar>
              <w:top w:w="50" w:type="dxa"/>
              <w:bottom w:w="50" w:type="dxa"/>
              <w:left w:w="80" w:type="dxa"/>
              <w:right w:w="80" w:type="dxa"/>
            </w:tcMar>
            <w:shd w:fill="FFFFFF"/>
          </w:tcPr>
          <w:p>
            <w:pPr>
              <w:spacing w:before="40" w:after="40"/>
              <w:jc w:val="left"/>
            </w:pPr>
            <w:r>
              <w:rPr>
                <w:rFonts w:ascii="Calibri" w:hAnsi="Calibri"/>
                <w:sz w:val="18"/>
              </w:rPr>
              <w:t>100.00%</w:t>
            </w:r>
          </w:p>
        </w:tc>
        <w:tc>
          <w:tcPr>
            <w:tcW w:type="dxa" w:w="1872"/>
            <w:tcMar>
              <w:top w:w="50" w:type="dxa"/>
              <w:bottom w:w="50" w:type="dxa"/>
              <w:left w:w="80" w:type="dxa"/>
              <w:right w:w="80" w:type="dxa"/>
            </w:tcMar>
            <w:shd w:fill="FFFFFF"/>
          </w:tcPr>
          <w:p>
            <w:pPr>
              <w:spacing w:before="40" w:after="40"/>
              <w:jc w:val="left"/>
            </w:pPr>
            <w:r>
              <w:rPr>
                <w:rFonts w:ascii="Calibri" w:hAnsi="Calibri"/>
                <w:sz w:val="18"/>
              </w:rPr>
              <w:t>Benchmark: ≥ 95.0% (Zero false alarms)</w:t>
            </w:r>
          </w:p>
        </w:tc>
      </w:tr>
      <w:tr>
        <w:tc>
          <w:tcPr>
            <w:tcW w:type="dxa" w:w="1872"/>
            <w:tcMar>
              <w:top w:w="50" w:type="dxa"/>
              <w:bottom w:w="50" w:type="dxa"/>
              <w:left w:w="80" w:type="dxa"/>
              <w:right w:w="80" w:type="dxa"/>
            </w:tcMar>
            <w:shd w:fill="F2F4F7"/>
          </w:tcPr>
          <w:p>
            <w:pPr>
              <w:spacing w:before="40" w:after="40"/>
              <w:jc w:val="left"/>
            </w:pPr>
            <w:r>
              <w:rPr>
                <w:rFonts w:ascii="Calibri" w:hAnsi="Calibri"/>
                <w:sz w:val="18"/>
              </w:rPr>
              <w:t>3</w:t>
            </w:r>
          </w:p>
        </w:tc>
        <w:tc>
          <w:tcPr>
            <w:tcW w:type="dxa" w:w="1872"/>
            <w:tcMar>
              <w:top w:w="50" w:type="dxa"/>
              <w:bottom w:w="50" w:type="dxa"/>
              <w:left w:w="80" w:type="dxa"/>
              <w:right w:w="80" w:type="dxa"/>
            </w:tcMar>
            <w:shd w:fill="F2F4F7"/>
          </w:tcPr>
          <w:p>
            <w:pPr>
              <w:spacing w:before="40" w:after="40"/>
              <w:jc w:val="left"/>
            </w:pPr>
            <w:r>
              <w:rPr>
                <w:rFonts w:ascii="Calibri" w:hAnsi="Calibri"/>
                <w:sz w:val="18"/>
              </w:rPr>
              <w:t>Recall (Sensitivity)</w:t>
            </w:r>
          </w:p>
        </w:tc>
        <w:tc>
          <w:tcPr>
            <w:tcW w:type="dxa" w:w="1872"/>
            <w:tcMar>
              <w:top w:w="50" w:type="dxa"/>
              <w:bottom w:w="50" w:type="dxa"/>
              <w:left w:w="80" w:type="dxa"/>
              <w:right w:w="80" w:type="dxa"/>
            </w:tcMar>
            <w:shd w:fill="F2F4F7"/>
          </w:tcPr>
          <w:p>
            <w:pPr>
              <w:spacing w:before="40" w:after="40"/>
              <w:jc w:val="left"/>
            </w:pPr>
            <w:r>
              <w:rPr>
                <w:rFonts w:ascii="Calibri" w:hAnsi="Calibri"/>
                <w:sz w:val="18"/>
              </w:rPr>
              <w:t>99.10%</w:t>
            </w:r>
          </w:p>
        </w:tc>
        <w:tc>
          <w:tcPr>
            <w:tcW w:type="dxa" w:w="1872"/>
            <w:tcMar>
              <w:top w:w="50" w:type="dxa"/>
              <w:bottom w:w="50" w:type="dxa"/>
              <w:left w:w="80" w:type="dxa"/>
              <w:right w:w="80" w:type="dxa"/>
            </w:tcMar>
            <w:shd w:fill="F2F4F7"/>
          </w:tcPr>
          <w:p>
            <w:pPr>
              <w:spacing w:before="40" w:after="40"/>
              <w:jc w:val="left"/>
            </w:pPr>
            <w:r>
              <w:rPr>
                <w:rFonts w:ascii="Calibri" w:hAnsi="Calibri"/>
                <w:sz w:val="18"/>
              </w:rPr>
              <w:t>98.76%</w:t>
            </w:r>
          </w:p>
        </w:tc>
        <w:tc>
          <w:tcPr>
            <w:tcW w:type="dxa" w:w="1872"/>
            <w:tcMar>
              <w:top w:w="50" w:type="dxa"/>
              <w:bottom w:w="50" w:type="dxa"/>
              <w:left w:w="80" w:type="dxa"/>
              <w:right w:w="80" w:type="dxa"/>
            </w:tcMar>
            <w:shd w:fill="F2F4F7"/>
          </w:tcPr>
          <w:p>
            <w:pPr>
              <w:spacing w:before="40" w:after="40"/>
              <w:jc w:val="left"/>
            </w:pPr>
            <w:r>
              <w:rPr>
                <w:rFonts w:ascii="Calibri" w:hAnsi="Calibri"/>
                <w:sz w:val="18"/>
              </w:rPr>
              <w:t>Benchmark: ≥ 95.0% (High disease capture)</w:t>
            </w:r>
          </w:p>
        </w:tc>
      </w:tr>
      <w:tr>
        <w:tc>
          <w:tcPr>
            <w:tcW w:type="dxa" w:w="1872"/>
            <w:tcMar>
              <w:top w:w="50" w:type="dxa"/>
              <w:bottom w:w="50" w:type="dxa"/>
              <w:left w:w="80" w:type="dxa"/>
              <w:right w:w="80" w:type="dxa"/>
            </w:tcMar>
            <w:shd w:fill="FFFFFF"/>
          </w:tcPr>
          <w:p>
            <w:pPr>
              <w:spacing w:before="40" w:after="40"/>
              <w:jc w:val="left"/>
            </w:pPr>
            <w:r>
              <w:rPr>
                <w:rFonts w:ascii="Calibri" w:hAnsi="Calibri"/>
                <w:sz w:val="18"/>
              </w:rPr>
              <w:t>4</w:t>
            </w:r>
          </w:p>
        </w:tc>
        <w:tc>
          <w:tcPr>
            <w:tcW w:type="dxa" w:w="1872"/>
            <w:tcMar>
              <w:top w:w="50" w:type="dxa"/>
              <w:bottom w:w="50" w:type="dxa"/>
              <w:left w:w="80" w:type="dxa"/>
              <w:right w:w="80" w:type="dxa"/>
            </w:tcMar>
            <w:shd w:fill="FFFFFF"/>
          </w:tcPr>
          <w:p>
            <w:pPr>
              <w:spacing w:before="40" w:after="40"/>
              <w:jc w:val="left"/>
            </w:pPr>
            <w:r>
              <w:rPr>
                <w:rFonts w:ascii="Calibri" w:hAnsi="Calibri"/>
                <w:sz w:val="18"/>
              </w:rPr>
              <w:t>Specificity (True Negative Rate)</w:t>
            </w:r>
          </w:p>
        </w:tc>
        <w:tc>
          <w:tcPr>
            <w:tcW w:type="dxa" w:w="1872"/>
            <w:tcMar>
              <w:top w:w="50" w:type="dxa"/>
              <w:bottom w:w="50" w:type="dxa"/>
              <w:left w:w="80" w:type="dxa"/>
              <w:right w:w="80" w:type="dxa"/>
            </w:tcMar>
            <w:shd w:fill="FFFFFF"/>
          </w:tcPr>
          <w:p>
            <w:pPr>
              <w:spacing w:before="40" w:after="40"/>
              <w:jc w:val="left"/>
            </w:pPr>
            <w:r>
              <w:rPr>
                <w:rFonts w:ascii="Calibri" w:hAnsi="Calibri"/>
                <w:sz w:val="18"/>
              </w:rPr>
              <w:t>100.00%</w:t>
            </w:r>
          </w:p>
        </w:tc>
        <w:tc>
          <w:tcPr>
            <w:tcW w:type="dxa" w:w="1872"/>
            <w:tcMar>
              <w:top w:w="50" w:type="dxa"/>
              <w:bottom w:w="50" w:type="dxa"/>
              <w:left w:w="80" w:type="dxa"/>
              <w:right w:w="80" w:type="dxa"/>
            </w:tcMar>
            <w:shd w:fill="FFFFFF"/>
          </w:tcPr>
          <w:p>
            <w:pPr>
              <w:spacing w:before="40" w:after="40"/>
              <w:jc w:val="left"/>
            </w:pPr>
            <w:r>
              <w:rPr>
                <w:rFonts w:ascii="Calibri" w:hAnsi="Calibri"/>
                <w:sz w:val="18"/>
              </w:rPr>
              <w:t>100.00%</w:t>
            </w:r>
          </w:p>
        </w:tc>
        <w:tc>
          <w:tcPr>
            <w:tcW w:type="dxa" w:w="1872"/>
            <w:tcMar>
              <w:top w:w="50" w:type="dxa"/>
              <w:bottom w:w="50" w:type="dxa"/>
              <w:left w:w="80" w:type="dxa"/>
              <w:right w:w="80" w:type="dxa"/>
            </w:tcMar>
            <w:shd w:fill="FFFFFF"/>
          </w:tcPr>
          <w:p>
            <w:pPr>
              <w:spacing w:before="40" w:after="40"/>
              <w:jc w:val="left"/>
            </w:pPr>
            <w:r>
              <w:rPr>
                <w:rFonts w:ascii="Calibri" w:hAnsi="Calibri"/>
                <w:sz w:val="18"/>
              </w:rPr>
              <w:t>Benchmark: ≥ 95.0% (Non-burden accuracy)</w:t>
            </w:r>
          </w:p>
        </w:tc>
      </w:tr>
      <w:tr>
        <w:tc>
          <w:tcPr>
            <w:tcW w:type="dxa" w:w="1872"/>
            <w:tcMar>
              <w:top w:w="50" w:type="dxa"/>
              <w:bottom w:w="50" w:type="dxa"/>
              <w:left w:w="80" w:type="dxa"/>
              <w:right w:w="80" w:type="dxa"/>
            </w:tcMar>
            <w:shd w:fill="F2F4F7"/>
          </w:tcPr>
          <w:p>
            <w:pPr>
              <w:spacing w:before="40" w:after="40"/>
              <w:jc w:val="left"/>
            </w:pPr>
            <w:r>
              <w:rPr>
                <w:rFonts w:ascii="Calibri" w:hAnsi="Calibri"/>
                <w:sz w:val="18"/>
              </w:rPr>
              <w:t>5</w:t>
            </w:r>
          </w:p>
        </w:tc>
        <w:tc>
          <w:tcPr>
            <w:tcW w:type="dxa" w:w="1872"/>
            <w:tcMar>
              <w:top w:w="50" w:type="dxa"/>
              <w:bottom w:w="50" w:type="dxa"/>
              <w:left w:w="80" w:type="dxa"/>
              <w:right w:w="80" w:type="dxa"/>
            </w:tcMar>
            <w:shd w:fill="F2F4F7"/>
          </w:tcPr>
          <w:p>
            <w:pPr>
              <w:spacing w:before="40" w:after="40"/>
              <w:jc w:val="left"/>
            </w:pPr>
            <w:r>
              <w:rPr>
                <w:rFonts w:ascii="Calibri" w:hAnsi="Calibri"/>
                <w:sz w:val="18"/>
              </w:rPr>
              <w:t>F1-Score (Harmonic Mean)</w:t>
            </w:r>
          </w:p>
        </w:tc>
        <w:tc>
          <w:tcPr>
            <w:tcW w:type="dxa" w:w="1872"/>
            <w:tcMar>
              <w:top w:w="50" w:type="dxa"/>
              <w:bottom w:w="50" w:type="dxa"/>
              <w:left w:w="80" w:type="dxa"/>
              <w:right w:w="80" w:type="dxa"/>
            </w:tcMar>
            <w:shd w:fill="F2F4F7"/>
          </w:tcPr>
          <w:p>
            <w:pPr>
              <w:spacing w:before="40" w:after="40"/>
              <w:jc w:val="left"/>
            </w:pPr>
            <w:r>
              <w:rPr>
                <w:rFonts w:ascii="Calibri" w:hAnsi="Calibri"/>
                <w:sz w:val="18"/>
              </w:rPr>
              <w:t>99.55%</w:t>
            </w:r>
          </w:p>
        </w:tc>
        <w:tc>
          <w:tcPr>
            <w:tcW w:type="dxa" w:w="1872"/>
            <w:tcMar>
              <w:top w:w="50" w:type="dxa"/>
              <w:bottom w:w="50" w:type="dxa"/>
              <w:left w:w="80" w:type="dxa"/>
              <w:right w:w="80" w:type="dxa"/>
            </w:tcMar>
            <w:shd w:fill="F2F4F7"/>
          </w:tcPr>
          <w:p>
            <w:pPr>
              <w:spacing w:before="40" w:after="40"/>
              <w:jc w:val="left"/>
            </w:pPr>
            <w:r>
              <w:rPr>
                <w:rFonts w:ascii="Calibri" w:hAnsi="Calibri"/>
                <w:sz w:val="18"/>
              </w:rPr>
              <w:t>99.38%</w:t>
            </w:r>
          </w:p>
        </w:tc>
        <w:tc>
          <w:tcPr>
            <w:tcW w:type="dxa" w:w="1872"/>
            <w:tcMar>
              <w:top w:w="50" w:type="dxa"/>
              <w:bottom w:w="50" w:type="dxa"/>
              <w:left w:w="80" w:type="dxa"/>
              <w:right w:w="80" w:type="dxa"/>
            </w:tcMar>
            <w:shd w:fill="F2F4F7"/>
          </w:tcPr>
          <w:p>
            <w:pPr>
              <w:spacing w:before="40" w:after="40"/>
              <w:jc w:val="left"/>
            </w:pPr>
            <w:r>
              <w:rPr>
                <w:rFonts w:ascii="Calibri" w:hAnsi="Calibri"/>
                <w:sz w:val="18"/>
              </w:rPr>
              <w:t>Benchmark: ≥ 90.0% (Balanced performance)</w:t>
            </w:r>
          </w:p>
        </w:tc>
      </w:tr>
      <w:tr>
        <w:tc>
          <w:tcPr>
            <w:tcW w:type="dxa" w:w="1872"/>
            <w:tcMar>
              <w:top w:w="50" w:type="dxa"/>
              <w:bottom w:w="50" w:type="dxa"/>
              <w:left w:w="80" w:type="dxa"/>
              <w:right w:w="80" w:type="dxa"/>
            </w:tcMar>
            <w:shd w:fill="FFFFFF"/>
          </w:tcPr>
          <w:p>
            <w:pPr>
              <w:spacing w:before="40" w:after="40"/>
              <w:jc w:val="left"/>
            </w:pPr>
            <w:r>
              <w:rPr>
                <w:rFonts w:ascii="Calibri" w:hAnsi="Calibri"/>
                <w:sz w:val="18"/>
              </w:rPr>
              <w:t>6</w:t>
            </w:r>
          </w:p>
        </w:tc>
        <w:tc>
          <w:tcPr>
            <w:tcW w:type="dxa" w:w="1872"/>
            <w:tcMar>
              <w:top w:w="50" w:type="dxa"/>
              <w:bottom w:w="50" w:type="dxa"/>
              <w:left w:w="80" w:type="dxa"/>
              <w:right w:w="80" w:type="dxa"/>
            </w:tcMar>
            <w:shd w:fill="FFFFFF"/>
          </w:tcPr>
          <w:p>
            <w:pPr>
              <w:spacing w:before="40" w:after="40"/>
              <w:jc w:val="left"/>
            </w:pPr>
            <w:r>
              <w:rPr>
                <w:rFonts w:ascii="Calibri" w:hAnsi="Calibri"/>
                <w:sz w:val="18"/>
              </w:rPr>
              <w:t>Area Under ROC Curve (ROC-AUC)</w:t>
            </w:r>
          </w:p>
        </w:tc>
        <w:tc>
          <w:tcPr>
            <w:tcW w:type="dxa" w:w="1872"/>
            <w:tcMar>
              <w:top w:w="50" w:type="dxa"/>
              <w:bottom w:w="50" w:type="dxa"/>
              <w:left w:w="80" w:type="dxa"/>
              <w:right w:w="80" w:type="dxa"/>
            </w:tcMar>
            <w:shd w:fill="FFFFFF"/>
          </w:tcPr>
          <w:p>
            <w:pPr>
              <w:spacing w:before="40" w:after="40"/>
              <w:jc w:val="left"/>
            </w:pPr>
            <w:r>
              <w:rPr>
                <w:rFonts w:ascii="Calibri" w:hAnsi="Calibri"/>
                <w:sz w:val="18"/>
              </w:rPr>
              <w:t>100.00%</w:t>
            </w:r>
          </w:p>
        </w:tc>
        <w:tc>
          <w:tcPr>
            <w:tcW w:type="dxa" w:w="1872"/>
            <w:tcMar>
              <w:top w:w="50" w:type="dxa"/>
              <w:bottom w:w="50" w:type="dxa"/>
              <w:left w:w="80" w:type="dxa"/>
              <w:right w:w="80" w:type="dxa"/>
            </w:tcMar>
            <w:shd w:fill="FFFFFF"/>
          </w:tcPr>
          <w:p>
            <w:pPr>
              <w:spacing w:before="40" w:after="40"/>
              <w:jc w:val="left"/>
            </w:pPr>
            <w:r>
              <w:rPr>
                <w:rFonts w:ascii="Calibri" w:hAnsi="Calibri"/>
                <w:sz w:val="18"/>
              </w:rPr>
              <w:t>99.99%</w:t>
            </w:r>
          </w:p>
        </w:tc>
        <w:tc>
          <w:tcPr>
            <w:tcW w:type="dxa" w:w="1872"/>
            <w:tcMar>
              <w:top w:w="50" w:type="dxa"/>
              <w:bottom w:w="50" w:type="dxa"/>
              <w:left w:w="80" w:type="dxa"/>
              <w:right w:w="80" w:type="dxa"/>
            </w:tcMar>
            <w:shd w:fill="FFFFFF"/>
          </w:tcPr>
          <w:p>
            <w:pPr>
              <w:spacing w:before="40" w:after="40"/>
              <w:jc w:val="left"/>
            </w:pPr>
            <w:r>
              <w:rPr>
                <w:rFonts w:ascii="Calibri" w:hAnsi="Calibri"/>
                <w:sz w:val="18"/>
              </w:rPr>
              <w:t>Benchmark: ≥ 95.0% (Excellent discrimination)</w:t>
            </w:r>
          </w:p>
        </w:tc>
      </w:tr>
      <w:tr>
        <w:tc>
          <w:tcPr>
            <w:tcW w:type="dxa" w:w="1872"/>
            <w:tcMar>
              <w:top w:w="50" w:type="dxa"/>
              <w:bottom w:w="50" w:type="dxa"/>
              <w:left w:w="80" w:type="dxa"/>
              <w:right w:w="80" w:type="dxa"/>
            </w:tcMar>
            <w:shd w:fill="F2F4F7"/>
          </w:tcPr>
          <w:p>
            <w:pPr>
              <w:spacing w:before="40" w:after="40"/>
              <w:jc w:val="left"/>
            </w:pPr>
            <w:r>
              <w:rPr>
                <w:rFonts w:ascii="Calibri" w:hAnsi="Calibri"/>
                <w:sz w:val="18"/>
              </w:rPr>
              <w:t>7</w:t>
            </w:r>
          </w:p>
        </w:tc>
        <w:tc>
          <w:tcPr>
            <w:tcW w:type="dxa" w:w="1872"/>
            <w:tcMar>
              <w:top w:w="50" w:type="dxa"/>
              <w:bottom w:w="50" w:type="dxa"/>
              <w:left w:w="80" w:type="dxa"/>
              <w:right w:w="80" w:type="dxa"/>
            </w:tcMar>
            <w:shd w:fill="F2F4F7"/>
          </w:tcPr>
          <w:p>
            <w:pPr>
              <w:spacing w:before="40" w:after="40"/>
              <w:jc w:val="left"/>
            </w:pPr>
            <w:r>
              <w:rPr>
                <w:rFonts w:ascii="Calibri" w:hAnsi="Calibri"/>
                <w:sz w:val="18"/>
              </w:rPr>
              <w:t>Balanced Accuracy</w:t>
            </w:r>
          </w:p>
        </w:tc>
        <w:tc>
          <w:tcPr>
            <w:tcW w:type="dxa" w:w="1872"/>
            <w:tcMar>
              <w:top w:w="50" w:type="dxa"/>
              <w:bottom w:w="50" w:type="dxa"/>
              <w:left w:w="80" w:type="dxa"/>
              <w:right w:w="80" w:type="dxa"/>
            </w:tcMar>
            <w:shd w:fill="F2F4F7"/>
          </w:tcPr>
          <w:p>
            <w:pPr>
              <w:spacing w:before="40" w:after="40"/>
              <w:jc w:val="left"/>
            </w:pPr>
            <w:r>
              <w:rPr>
                <w:rFonts w:ascii="Calibri" w:hAnsi="Calibri"/>
                <w:sz w:val="18"/>
              </w:rPr>
              <w:t>99.55%</w:t>
            </w:r>
          </w:p>
        </w:tc>
        <w:tc>
          <w:tcPr>
            <w:tcW w:type="dxa" w:w="1872"/>
            <w:tcMar>
              <w:top w:w="50" w:type="dxa"/>
              <w:bottom w:w="50" w:type="dxa"/>
              <w:left w:w="80" w:type="dxa"/>
              <w:right w:w="80" w:type="dxa"/>
            </w:tcMar>
            <w:shd w:fill="F2F4F7"/>
          </w:tcPr>
          <w:p>
            <w:pPr>
              <w:spacing w:before="40" w:after="40"/>
              <w:jc w:val="left"/>
            </w:pPr>
            <w:r>
              <w:rPr>
                <w:rFonts w:ascii="Calibri" w:hAnsi="Calibri"/>
                <w:sz w:val="18"/>
              </w:rPr>
              <w:t>99.38%</w:t>
            </w:r>
          </w:p>
        </w:tc>
        <w:tc>
          <w:tcPr>
            <w:tcW w:type="dxa" w:w="1872"/>
            <w:tcMar>
              <w:top w:w="50" w:type="dxa"/>
              <w:bottom w:w="50" w:type="dxa"/>
              <w:left w:w="80" w:type="dxa"/>
              <w:right w:w="80" w:type="dxa"/>
            </w:tcMar>
            <w:shd w:fill="F2F4F7"/>
          </w:tcPr>
          <w:p>
            <w:pPr>
              <w:spacing w:before="40" w:after="40"/>
              <w:jc w:val="left"/>
            </w:pPr>
            <w:r>
              <w:rPr>
                <w:rFonts w:ascii="Calibri" w:hAnsi="Calibri"/>
                <w:sz w:val="18"/>
              </w:rPr>
              <w:t>Benchmark: ≥ 90.0% (Resilience to class imbalance)</w:t>
            </w:r>
          </w:p>
        </w:tc>
      </w:tr>
      <w:tr>
        <w:tc>
          <w:tcPr>
            <w:tcW w:type="dxa" w:w="1872"/>
            <w:tcMar>
              <w:top w:w="50" w:type="dxa"/>
              <w:bottom w:w="50" w:type="dxa"/>
              <w:left w:w="80" w:type="dxa"/>
              <w:right w:w="80" w:type="dxa"/>
            </w:tcMar>
            <w:shd w:fill="FFFFFF"/>
          </w:tcPr>
          <w:p>
            <w:pPr>
              <w:spacing w:before="40" w:after="40"/>
              <w:jc w:val="left"/>
            </w:pPr>
            <w:r>
              <w:rPr>
                <w:rFonts w:ascii="Calibri" w:hAnsi="Calibri"/>
                <w:sz w:val="18"/>
              </w:rPr>
              <w:t>8</w:t>
            </w:r>
          </w:p>
        </w:tc>
        <w:tc>
          <w:tcPr>
            <w:tcW w:type="dxa" w:w="1872"/>
            <w:tcMar>
              <w:top w:w="50" w:type="dxa"/>
              <w:bottom w:w="50" w:type="dxa"/>
              <w:left w:w="80" w:type="dxa"/>
              <w:right w:w="80" w:type="dxa"/>
            </w:tcMar>
            <w:shd w:fill="FFFFFF"/>
          </w:tcPr>
          <w:p>
            <w:pPr>
              <w:spacing w:before="40" w:after="40"/>
              <w:jc w:val="left"/>
            </w:pPr>
            <w:r>
              <w:rPr>
                <w:rFonts w:ascii="Calibri" w:hAnsi="Calibri"/>
                <w:sz w:val="18"/>
              </w:rPr>
              <w:t>Coefficient of Determination (R²)</w:t>
            </w:r>
          </w:p>
        </w:tc>
        <w:tc>
          <w:tcPr>
            <w:tcW w:type="dxa" w:w="1872"/>
            <w:tcMar>
              <w:top w:w="50" w:type="dxa"/>
              <w:bottom w:w="50" w:type="dxa"/>
              <w:left w:w="80" w:type="dxa"/>
              <w:right w:w="80" w:type="dxa"/>
            </w:tcMar>
            <w:shd w:fill="FFFFFF"/>
          </w:tcPr>
          <w:p>
            <w:pPr>
              <w:spacing w:before="40" w:after="40"/>
              <w:jc w:val="left"/>
            </w:pPr>
            <w:r>
              <w:rPr>
                <w:rFonts w:ascii="Calibri" w:hAnsi="Calibri"/>
                <w:sz w:val="18"/>
              </w:rPr>
              <w:t>91.52%</w:t>
            </w:r>
          </w:p>
        </w:tc>
        <w:tc>
          <w:tcPr>
            <w:tcW w:type="dxa" w:w="1872"/>
            <w:tcMar>
              <w:top w:w="50" w:type="dxa"/>
              <w:bottom w:w="50" w:type="dxa"/>
              <w:left w:w="80" w:type="dxa"/>
              <w:right w:w="80" w:type="dxa"/>
            </w:tcMar>
            <w:shd w:fill="FFFFFF"/>
          </w:tcPr>
          <w:p>
            <w:pPr>
              <w:spacing w:before="40" w:after="40"/>
              <w:jc w:val="left"/>
            </w:pPr>
            <w:r>
              <w:rPr>
                <w:rFonts w:ascii="Calibri" w:hAnsi="Calibri"/>
                <w:sz w:val="18"/>
              </w:rPr>
              <w:t>89.07%</w:t>
            </w:r>
          </w:p>
        </w:tc>
        <w:tc>
          <w:tcPr>
            <w:tcW w:type="dxa" w:w="1872"/>
            <w:tcMar>
              <w:top w:w="50" w:type="dxa"/>
              <w:bottom w:w="50" w:type="dxa"/>
              <w:left w:w="80" w:type="dxa"/>
              <w:right w:w="80" w:type="dxa"/>
            </w:tcMar>
            <w:shd w:fill="FFFFFF"/>
          </w:tcPr>
          <w:p>
            <w:pPr>
              <w:spacing w:before="40" w:after="40"/>
              <w:jc w:val="left"/>
            </w:pPr>
            <w:r>
              <w:rPr>
                <w:rFonts w:ascii="Calibri" w:hAnsi="Calibri"/>
                <w:sz w:val="18"/>
              </w:rPr>
              <w:t>Benchmark: ≥ 85.0% (High variance explained)</w:t>
            </w:r>
          </w:p>
        </w:tc>
      </w:tr>
      <w:tr>
        <w:tc>
          <w:tcPr>
            <w:tcW w:type="dxa" w:w="1872"/>
            <w:tcMar>
              <w:top w:w="50" w:type="dxa"/>
              <w:bottom w:w="50" w:type="dxa"/>
              <w:left w:w="80" w:type="dxa"/>
              <w:right w:w="80" w:type="dxa"/>
            </w:tcMar>
            <w:shd w:fill="F2F4F7"/>
          </w:tcPr>
          <w:p>
            <w:pPr>
              <w:spacing w:before="40" w:after="40"/>
              <w:jc w:val="left"/>
            </w:pPr>
            <w:r>
              <w:rPr>
                <w:rFonts w:ascii="Calibri" w:hAnsi="Calibri"/>
                <w:sz w:val="18"/>
              </w:rPr>
              <w:t>9</w:t>
            </w:r>
          </w:p>
        </w:tc>
        <w:tc>
          <w:tcPr>
            <w:tcW w:type="dxa" w:w="1872"/>
            <w:tcMar>
              <w:top w:w="50" w:type="dxa"/>
              <w:bottom w:w="50" w:type="dxa"/>
              <w:left w:w="80" w:type="dxa"/>
              <w:right w:w="80" w:type="dxa"/>
            </w:tcMar>
            <w:shd w:fill="F2F4F7"/>
          </w:tcPr>
          <w:p>
            <w:pPr>
              <w:spacing w:before="40" w:after="40"/>
              <w:jc w:val="left"/>
            </w:pPr>
            <w:r>
              <w:rPr>
                <w:rFonts w:ascii="Calibri" w:hAnsi="Calibri"/>
                <w:sz w:val="18"/>
              </w:rPr>
              <w:t>Surrogate Fidelity Agreement (R²)</w:t>
            </w:r>
          </w:p>
        </w:tc>
        <w:tc>
          <w:tcPr>
            <w:tcW w:type="dxa" w:w="1872"/>
            <w:tcMar>
              <w:top w:w="50" w:type="dxa"/>
              <w:bottom w:w="50" w:type="dxa"/>
              <w:left w:w="80" w:type="dxa"/>
              <w:right w:w="80" w:type="dxa"/>
            </w:tcMar>
            <w:shd w:fill="F2F4F7"/>
          </w:tcPr>
          <w:p>
            <w:pPr>
              <w:spacing w:before="40" w:after="40"/>
              <w:jc w:val="left"/>
            </w:pPr>
            <w:r>
              <w:rPr>
                <w:rFonts w:ascii="Calibri" w:hAnsi="Calibri"/>
                <w:sz w:val="18"/>
              </w:rPr>
              <w:t>Reference</w:t>
            </w:r>
          </w:p>
        </w:tc>
        <w:tc>
          <w:tcPr>
            <w:tcW w:type="dxa" w:w="1872"/>
            <w:tcMar>
              <w:top w:w="50" w:type="dxa"/>
              <w:bottom w:w="50" w:type="dxa"/>
              <w:left w:w="80" w:type="dxa"/>
              <w:right w:w="80" w:type="dxa"/>
            </w:tcMar>
            <w:shd w:fill="F2F4F7"/>
          </w:tcPr>
          <w:p>
            <w:pPr>
              <w:spacing w:before="40" w:after="40"/>
              <w:jc w:val="left"/>
            </w:pPr>
            <w:r>
              <w:rPr>
                <w:rFonts w:ascii="Calibri" w:hAnsi="Calibri"/>
                <w:sz w:val="18"/>
              </w:rPr>
              <w:t>98.02%</w:t>
            </w:r>
          </w:p>
        </w:tc>
        <w:tc>
          <w:tcPr>
            <w:tcW w:type="dxa" w:w="1872"/>
            <w:tcMar>
              <w:top w:w="50" w:type="dxa"/>
              <w:bottom w:w="50" w:type="dxa"/>
              <w:left w:w="80" w:type="dxa"/>
              <w:right w:w="80" w:type="dxa"/>
            </w:tcMar>
            <w:shd w:fill="F2F4F7"/>
          </w:tcPr>
          <w:p>
            <w:pPr>
              <w:spacing w:before="40" w:after="40"/>
              <w:jc w:val="left"/>
            </w:pPr>
            <w:r>
              <w:rPr>
                <w:rFonts w:ascii="Calibri" w:hAnsi="Calibri"/>
                <w:sz w:val="18"/>
              </w:rPr>
              <w:t>Benchmark: ≥ 95.0% (Faithful explanation)</w:t>
            </w:r>
          </w:p>
        </w:tc>
      </w:tr>
      <w:tr>
        <w:tc>
          <w:tcPr>
            <w:tcW w:type="dxa" w:w="1872"/>
            <w:tcMar>
              <w:top w:w="50" w:type="dxa"/>
              <w:bottom w:w="50" w:type="dxa"/>
              <w:left w:w="80" w:type="dxa"/>
              <w:right w:w="80" w:type="dxa"/>
            </w:tcMar>
            <w:shd w:fill="FFFFFF"/>
          </w:tcPr>
          <w:p>
            <w:pPr>
              <w:spacing w:before="40" w:after="40"/>
              <w:jc w:val="left"/>
            </w:pPr>
            <w:r>
              <w:rPr>
                <w:rFonts w:ascii="Calibri" w:hAnsi="Calibri"/>
                <w:sz w:val="18"/>
              </w:rPr>
              <w:t>10</w:t>
            </w:r>
          </w:p>
        </w:tc>
        <w:tc>
          <w:tcPr>
            <w:tcW w:type="dxa" w:w="1872"/>
            <w:tcMar>
              <w:top w:w="50" w:type="dxa"/>
              <w:bottom w:w="50" w:type="dxa"/>
              <w:left w:w="80" w:type="dxa"/>
              <w:right w:w="80" w:type="dxa"/>
            </w:tcMar>
            <w:shd w:fill="FFFFFF"/>
          </w:tcPr>
          <w:p>
            <w:pPr>
              <w:spacing w:before="40" w:after="40"/>
              <w:jc w:val="left"/>
            </w:pPr>
            <w:r>
              <w:rPr>
                <w:rFonts w:ascii="Calibri" w:hAnsi="Calibri"/>
                <w:sz w:val="18"/>
              </w:rPr>
              <w:t>Decision Concordance Rate</w:t>
            </w:r>
          </w:p>
        </w:tc>
        <w:tc>
          <w:tcPr>
            <w:tcW w:type="dxa" w:w="1872"/>
            <w:tcMar>
              <w:top w:w="50" w:type="dxa"/>
              <w:bottom w:w="50" w:type="dxa"/>
              <w:left w:w="80" w:type="dxa"/>
              <w:right w:w="80" w:type="dxa"/>
            </w:tcMar>
            <w:shd w:fill="FFFFFF"/>
          </w:tcPr>
          <w:p>
            <w:pPr>
              <w:spacing w:before="40" w:after="40"/>
              <w:jc w:val="left"/>
            </w:pPr>
            <w:r>
              <w:rPr>
                <w:rFonts w:ascii="Calibri" w:hAnsi="Calibri"/>
                <w:sz w:val="18"/>
              </w:rPr>
              <w:t>Reference</w:t>
            </w:r>
          </w:p>
        </w:tc>
        <w:tc>
          <w:tcPr>
            <w:tcW w:type="dxa" w:w="1872"/>
            <w:tcMar>
              <w:top w:w="50" w:type="dxa"/>
              <w:bottom w:w="50" w:type="dxa"/>
              <w:left w:w="80" w:type="dxa"/>
              <w:right w:w="80" w:type="dxa"/>
            </w:tcMar>
            <w:shd w:fill="FFFFFF"/>
          </w:tcPr>
          <w:p>
            <w:pPr>
              <w:spacing w:before="40" w:after="40"/>
              <w:jc w:val="left"/>
            </w:pPr>
            <w:r>
              <w:rPr>
                <w:rFonts w:ascii="Calibri" w:hAnsi="Calibri"/>
                <w:sz w:val="18"/>
              </w:rPr>
              <w:t>99.72%</w:t>
            </w:r>
          </w:p>
        </w:tc>
        <w:tc>
          <w:tcPr>
            <w:tcW w:type="dxa" w:w="1872"/>
            <w:tcMar>
              <w:top w:w="50" w:type="dxa"/>
              <w:bottom w:w="50" w:type="dxa"/>
              <w:left w:w="80" w:type="dxa"/>
              <w:right w:w="80" w:type="dxa"/>
            </w:tcMar>
            <w:shd w:fill="FFFFFF"/>
          </w:tcPr>
          <w:p>
            <w:pPr>
              <w:spacing w:before="40" w:after="40"/>
              <w:jc w:val="left"/>
            </w:pPr>
            <w:r>
              <w:rPr>
                <w:rFonts w:ascii="Calibri" w:hAnsi="Calibri"/>
                <w:sz w:val="18"/>
              </w:rPr>
              <w:t>Benchmark: ≥ 98.0% (Identical categorization)</w:t>
            </w:r>
          </w:p>
        </w:tc>
      </w:tr>
      <w:tr>
        <w:tc>
          <w:tcPr>
            <w:tcW w:type="dxa" w:w="1872"/>
            <w:tcMar>
              <w:top w:w="50" w:type="dxa"/>
              <w:bottom w:w="50" w:type="dxa"/>
              <w:left w:w="80" w:type="dxa"/>
              <w:right w:w="80" w:type="dxa"/>
            </w:tcMar>
            <w:shd w:fill="F2F4F7"/>
          </w:tcPr>
          <w:p>
            <w:pPr>
              <w:spacing w:before="40" w:after="40"/>
              <w:jc w:val="left"/>
            </w:pPr>
            <w:r>
              <w:rPr>
                <w:rFonts w:ascii="Calibri" w:hAnsi="Calibri"/>
                <w:sz w:val="18"/>
              </w:rPr>
              <w:t>11</w:t>
            </w:r>
          </w:p>
        </w:tc>
        <w:tc>
          <w:tcPr>
            <w:tcW w:type="dxa" w:w="1872"/>
            <w:tcMar>
              <w:top w:w="50" w:type="dxa"/>
              <w:bottom w:w="50" w:type="dxa"/>
              <w:left w:w="80" w:type="dxa"/>
              <w:right w:w="80" w:type="dxa"/>
            </w:tcMar>
            <w:shd w:fill="F2F4F7"/>
          </w:tcPr>
          <w:p>
            <w:pPr>
              <w:spacing w:before="40" w:after="40"/>
              <w:jc w:val="left"/>
            </w:pPr>
            <w:r>
              <w:rPr>
                <w:rFonts w:ascii="Calibri" w:hAnsi="Calibri"/>
                <w:sz w:val="18"/>
              </w:rPr>
              <w:t>Root Mean Squared Error (RMSE)</w:t>
            </w:r>
          </w:p>
        </w:tc>
        <w:tc>
          <w:tcPr>
            <w:tcW w:type="dxa" w:w="1872"/>
            <w:tcMar>
              <w:top w:w="50" w:type="dxa"/>
              <w:bottom w:w="50" w:type="dxa"/>
              <w:left w:w="80" w:type="dxa"/>
              <w:right w:w="80" w:type="dxa"/>
            </w:tcMar>
            <w:shd w:fill="F2F4F7"/>
          </w:tcPr>
          <w:p>
            <w:pPr>
              <w:spacing w:before="40" w:after="40"/>
              <w:jc w:val="left"/>
            </w:pPr>
            <w:r>
              <w:rPr>
                <w:rFonts w:ascii="Calibri" w:hAnsi="Calibri"/>
                <w:sz w:val="18"/>
              </w:rPr>
              <w:t>0.0961</w:t>
            </w:r>
          </w:p>
        </w:tc>
        <w:tc>
          <w:tcPr>
            <w:tcW w:type="dxa" w:w="1872"/>
            <w:tcMar>
              <w:top w:w="50" w:type="dxa"/>
              <w:bottom w:w="50" w:type="dxa"/>
              <w:left w:w="80" w:type="dxa"/>
              <w:right w:w="80" w:type="dxa"/>
            </w:tcMar>
            <w:shd w:fill="F2F4F7"/>
          </w:tcPr>
          <w:p>
            <w:pPr>
              <w:spacing w:before="40" w:after="40"/>
              <w:jc w:val="left"/>
            </w:pPr>
            <w:r>
              <w:rPr>
                <w:rFonts w:ascii="Calibri" w:hAnsi="Calibri"/>
                <w:sz w:val="18"/>
              </w:rPr>
              <w:t>0.1091</w:t>
            </w:r>
          </w:p>
        </w:tc>
        <w:tc>
          <w:tcPr>
            <w:tcW w:type="dxa" w:w="1872"/>
            <w:tcMar>
              <w:top w:w="50" w:type="dxa"/>
              <w:bottom w:w="50" w:type="dxa"/>
              <w:left w:w="80" w:type="dxa"/>
              <w:right w:w="80" w:type="dxa"/>
            </w:tcMar>
            <w:shd w:fill="F2F4F7"/>
          </w:tcPr>
          <w:p>
            <w:pPr>
              <w:spacing w:before="40" w:after="40"/>
              <w:jc w:val="left"/>
            </w:pPr>
            <w:r>
              <w:rPr>
                <w:rFonts w:ascii="Calibri" w:hAnsi="Calibri"/>
                <w:sz w:val="18"/>
              </w:rPr>
              <w:t>Benchmark: ≤ 0.1500 (Low error dispersion)</w:t>
            </w:r>
          </w:p>
        </w:tc>
      </w:tr>
      <w:tr>
        <w:tc>
          <w:tcPr>
            <w:tcW w:type="dxa" w:w="1872"/>
            <w:tcMar>
              <w:top w:w="50" w:type="dxa"/>
              <w:bottom w:w="50" w:type="dxa"/>
              <w:left w:w="80" w:type="dxa"/>
              <w:right w:w="80" w:type="dxa"/>
            </w:tcMar>
            <w:shd w:fill="FFFFFF"/>
          </w:tcPr>
          <w:p>
            <w:pPr>
              <w:spacing w:before="40" w:after="40"/>
              <w:jc w:val="left"/>
            </w:pPr>
            <w:r>
              <w:rPr>
                <w:rFonts w:ascii="Calibri" w:hAnsi="Calibri"/>
                <w:sz w:val="18"/>
              </w:rPr>
              <w:t>12</w:t>
            </w:r>
          </w:p>
        </w:tc>
        <w:tc>
          <w:tcPr>
            <w:tcW w:type="dxa" w:w="1872"/>
            <w:tcMar>
              <w:top w:w="50" w:type="dxa"/>
              <w:bottom w:w="50" w:type="dxa"/>
              <w:left w:w="80" w:type="dxa"/>
              <w:right w:w="80" w:type="dxa"/>
            </w:tcMar>
            <w:shd w:fill="FFFFFF"/>
          </w:tcPr>
          <w:p>
            <w:pPr>
              <w:spacing w:before="40" w:after="40"/>
              <w:jc w:val="left"/>
            </w:pPr>
            <w:r>
              <w:rPr>
                <w:rFonts w:ascii="Calibri" w:hAnsi="Calibri"/>
                <w:sz w:val="18"/>
              </w:rPr>
              <w:t>Mean Absolute Error (MAE)</w:t>
            </w:r>
          </w:p>
        </w:tc>
        <w:tc>
          <w:tcPr>
            <w:tcW w:type="dxa" w:w="1872"/>
            <w:tcMar>
              <w:top w:w="50" w:type="dxa"/>
              <w:bottom w:w="50" w:type="dxa"/>
              <w:left w:w="80" w:type="dxa"/>
              <w:right w:w="80" w:type="dxa"/>
            </w:tcMar>
            <w:shd w:fill="FFFFFF"/>
          </w:tcPr>
          <w:p>
            <w:pPr>
              <w:spacing w:before="40" w:after="40"/>
              <w:jc w:val="left"/>
            </w:pPr>
            <w:r>
              <w:rPr>
                <w:rFonts w:ascii="Calibri" w:hAnsi="Calibri"/>
                <w:sz w:val="18"/>
              </w:rPr>
              <w:t>0.0739</w:t>
            </w:r>
          </w:p>
        </w:tc>
        <w:tc>
          <w:tcPr>
            <w:tcW w:type="dxa" w:w="1872"/>
            <w:tcMar>
              <w:top w:w="50" w:type="dxa"/>
              <w:bottom w:w="50" w:type="dxa"/>
              <w:left w:w="80" w:type="dxa"/>
              <w:right w:w="80" w:type="dxa"/>
            </w:tcMar>
            <w:shd w:fill="FFFFFF"/>
          </w:tcPr>
          <w:p>
            <w:pPr>
              <w:spacing w:before="40" w:after="40"/>
              <w:jc w:val="left"/>
            </w:pPr>
            <w:r>
              <w:rPr>
                <w:rFonts w:ascii="Calibri" w:hAnsi="Calibri"/>
                <w:sz w:val="18"/>
              </w:rPr>
              <w:t>0.0865</w:t>
            </w:r>
          </w:p>
        </w:tc>
        <w:tc>
          <w:tcPr>
            <w:tcW w:type="dxa" w:w="1872"/>
            <w:tcMar>
              <w:top w:w="50" w:type="dxa"/>
              <w:bottom w:w="50" w:type="dxa"/>
              <w:left w:w="80" w:type="dxa"/>
              <w:right w:w="80" w:type="dxa"/>
            </w:tcMar>
            <w:shd w:fill="FFFFFF"/>
          </w:tcPr>
          <w:p>
            <w:pPr>
              <w:spacing w:before="40" w:after="40"/>
              <w:jc w:val="left"/>
            </w:pPr>
            <w:r>
              <w:rPr>
                <w:rFonts w:ascii="Calibri" w:hAnsi="Calibri"/>
                <w:sz w:val="18"/>
              </w:rPr>
              <w:t>Benchmark: ≤ 0.1000 (Low average deviation)</w:t>
            </w:r>
          </w:p>
        </w:tc>
      </w:tr>
      <w:tr>
        <w:tc>
          <w:tcPr>
            <w:tcW w:type="dxa" w:w="1872"/>
            <w:tcMar>
              <w:top w:w="50" w:type="dxa"/>
              <w:bottom w:w="50" w:type="dxa"/>
              <w:left w:w="80" w:type="dxa"/>
              <w:right w:w="80" w:type="dxa"/>
            </w:tcMar>
            <w:shd w:fill="F2F4F7"/>
          </w:tcPr>
          <w:p>
            <w:pPr>
              <w:spacing w:before="40" w:after="40"/>
              <w:jc w:val="left"/>
            </w:pPr>
            <w:r>
              <w:rPr>
                <w:rFonts w:ascii="Calibri" w:hAnsi="Calibri"/>
                <w:sz w:val="18"/>
              </w:rPr>
              <w:t>13</w:t>
            </w:r>
          </w:p>
        </w:tc>
        <w:tc>
          <w:tcPr>
            <w:tcW w:type="dxa" w:w="1872"/>
            <w:tcMar>
              <w:top w:w="50" w:type="dxa"/>
              <w:bottom w:w="50" w:type="dxa"/>
              <w:left w:w="80" w:type="dxa"/>
              <w:right w:w="80" w:type="dxa"/>
            </w:tcMar>
            <w:shd w:fill="F2F4F7"/>
          </w:tcPr>
          <w:p>
            <w:pPr>
              <w:spacing w:before="40" w:after="40"/>
              <w:jc w:val="left"/>
            </w:pPr>
            <w:r>
              <w:rPr>
                <w:rFonts w:ascii="Calibri" w:hAnsi="Calibri"/>
                <w:sz w:val="18"/>
              </w:rPr>
              <w:t>Symmetric MAPE (SMAPE)</w:t>
            </w:r>
          </w:p>
        </w:tc>
        <w:tc>
          <w:tcPr>
            <w:tcW w:type="dxa" w:w="1872"/>
            <w:tcMar>
              <w:top w:w="50" w:type="dxa"/>
              <w:bottom w:w="50" w:type="dxa"/>
              <w:left w:w="80" w:type="dxa"/>
              <w:right w:w="80" w:type="dxa"/>
            </w:tcMar>
            <w:shd w:fill="F2F4F7"/>
          </w:tcPr>
          <w:p>
            <w:pPr>
              <w:spacing w:before="40" w:after="40"/>
              <w:jc w:val="left"/>
            </w:pPr>
            <w:r>
              <w:rPr>
                <w:rFonts w:ascii="Calibri" w:hAnsi="Calibri"/>
                <w:sz w:val="18"/>
              </w:rPr>
              <w:t>15.33%</w:t>
            </w:r>
          </w:p>
        </w:tc>
        <w:tc>
          <w:tcPr>
            <w:tcW w:type="dxa" w:w="1872"/>
            <w:tcMar>
              <w:top w:w="50" w:type="dxa"/>
              <w:bottom w:w="50" w:type="dxa"/>
              <w:left w:w="80" w:type="dxa"/>
              <w:right w:w="80" w:type="dxa"/>
            </w:tcMar>
            <w:shd w:fill="F2F4F7"/>
          </w:tcPr>
          <w:p>
            <w:pPr>
              <w:spacing w:before="40" w:after="40"/>
              <w:jc w:val="left"/>
            </w:pPr>
            <w:r>
              <w:rPr>
                <w:rFonts w:ascii="Calibri" w:hAnsi="Calibri"/>
                <w:sz w:val="18"/>
              </w:rPr>
              <w:t>20.19%</w:t>
            </w:r>
          </w:p>
        </w:tc>
        <w:tc>
          <w:tcPr>
            <w:tcW w:type="dxa" w:w="1872"/>
            <w:tcMar>
              <w:top w:w="50" w:type="dxa"/>
              <w:bottom w:w="50" w:type="dxa"/>
              <w:left w:w="80" w:type="dxa"/>
              <w:right w:w="80" w:type="dxa"/>
            </w:tcMar>
            <w:shd w:fill="F2F4F7"/>
          </w:tcPr>
          <w:p>
            <w:pPr>
              <w:spacing w:before="40" w:after="40"/>
              <w:jc w:val="left"/>
            </w:pPr>
            <w:r>
              <w:rPr>
                <w:rFonts w:ascii="Calibri" w:hAnsi="Calibri"/>
                <w:sz w:val="18"/>
              </w:rPr>
              <w:t>Benchmark: ≤ 20.0% (High relative precision)</w:t>
            </w:r>
          </w:p>
        </w:tc>
      </w:tr>
      <w:tr>
        <w:tc>
          <w:tcPr>
            <w:tcW w:type="dxa" w:w="1872"/>
            <w:tcMar>
              <w:top w:w="50" w:type="dxa"/>
              <w:bottom w:w="50" w:type="dxa"/>
              <w:left w:w="80" w:type="dxa"/>
              <w:right w:w="80" w:type="dxa"/>
            </w:tcMar>
            <w:shd w:fill="FFFFFF"/>
          </w:tcPr>
          <w:p>
            <w:pPr>
              <w:spacing w:before="40" w:after="40"/>
              <w:jc w:val="left"/>
            </w:pPr>
            <w:r>
              <w:rPr>
                <w:rFonts w:ascii="Calibri" w:hAnsi="Calibri"/>
                <w:sz w:val="18"/>
              </w:rPr>
              <w:t>14</w:t>
            </w:r>
          </w:p>
        </w:tc>
        <w:tc>
          <w:tcPr>
            <w:tcW w:type="dxa" w:w="1872"/>
            <w:tcMar>
              <w:top w:w="50" w:type="dxa"/>
              <w:bottom w:w="50" w:type="dxa"/>
              <w:left w:w="80" w:type="dxa"/>
              <w:right w:w="80" w:type="dxa"/>
            </w:tcMar>
            <w:shd w:fill="FFFFFF"/>
          </w:tcPr>
          <w:p>
            <w:pPr>
              <w:spacing w:before="40" w:after="40"/>
              <w:jc w:val="left"/>
            </w:pPr>
            <w:r>
              <w:rPr>
                <w:rFonts w:ascii="Calibri" w:hAnsi="Calibri"/>
                <w:sz w:val="18"/>
              </w:rPr>
              <w:t>Baseline Population Intercept (β₀)</w:t>
            </w:r>
          </w:p>
        </w:tc>
        <w:tc>
          <w:tcPr>
            <w:tcW w:type="dxa" w:w="1872"/>
            <w:tcMar>
              <w:top w:w="50" w:type="dxa"/>
              <w:bottom w:w="50" w:type="dxa"/>
              <w:left w:w="80" w:type="dxa"/>
              <w:right w:w="80" w:type="dxa"/>
            </w:tcMar>
            <w:shd w:fill="FFFFFF"/>
          </w:tcPr>
          <w:p>
            <w:pPr>
              <w:spacing w:before="40" w:after="40"/>
              <w:jc w:val="left"/>
            </w:pPr>
            <w:r>
              <w:rPr>
                <w:rFonts w:ascii="Calibri" w:hAnsi="Calibri"/>
                <w:sz w:val="18"/>
              </w:rPr>
              <w:t>N/A</w:t>
            </w:r>
          </w:p>
        </w:tc>
        <w:tc>
          <w:tcPr>
            <w:tcW w:type="dxa" w:w="1872"/>
            <w:tcMar>
              <w:top w:w="50" w:type="dxa"/>
              <w:bottom w:w="50" w:type="dxa"/>
              <w:left w:w="80" w:type="dxa"/>
              <w:right w:w="80" w:type="dxa"/>
            </w:tcMar>
            <w:shd w:fill="FFFFFF"/>
          </w:tcPr>
          <w:p>
            <w:pPr>
              <w:spacing w:before="40" w:after="40"/>
              <w:jc w:val="left"/>
            </w:pPr>
            <w:r>
              <w:rPr>
                <w:rFonts w:ascii="Calibri" w:hAnsi="Calibri"/>
                <w:sz w:val="18"/>
              </w:rPr>
              <w:t>0.4442</w:t>
            </w:r>
          </w:p>
        </w:tc>
        <w:tc>
          <w:tcPr>
            <w:tcW w:type="dxa" w:w="1872"/>
            <w:tcMar>
              <w:top w:w="50" w:type="dxa"/>
              <w:bottom w:w="50" w:type="dxa"/>
              <w:left w:w="80" w:type="dxa"/>
              <w:right w:w="80" w:type="dxa"/>
            </w:tcMar>
            <w:shd w:fill="FFFFFF"/>
          </w:tcPr>
          <w:p>
            <w:pPr>
              <w:spacing w:before="40" w:after="40"/>
              <w:jc w:val="left"/>
            </w:pPr>
            <w:r>
              <w:rPr>
                <w:rFonts w:ascii="Calibri" w:hAnsi="Calibri"/>
                <w:sz w:val="18"/>
              </w:rPr>
              <w:t>Constant reference risk (~44.4% - 49.5%)</w:t>
            </w:r>
          </w:p>
        </w:tc>
      </w:tr>
    </w:tbl>
    <w:p>
      <w:pPr>
        <w:spacing w:before="240" w:after="80"/>
      </w:pPr>
      <w:r>
        <w:rPr>
          <w:rFonts w:ascii="Calibri" w:hAnsi="Calibri"/>
          <w:b/>
          <w:color w:val="2E75B6"/>
          <w:sz w:val="26"/>
        </w:rPr>
        <w:t>4.6.2 Discussion of Results</w:t>
      </w:r>
    </w:p>
    <w:p>
      <w:pPr>
        <w:spacing w:line="276" w:lineRule="auto" w:after="200"/>
      </w:pPr>
      <w:r>
        <w:rPr>
          <w:rFonts w:ascii="Calibri" w:hAnsi="Calibri"/>
        </w:rPr>
        <w:t>This study explored the formulation, deployment, and evaluation of a dual-tier predictive and explainable architecture for household malaria burden assessment in Akwa Ibom State, Nigeria. The empirical findings demonstrate that the Explainable Boosting Machine (EBM) achieves exceptional diagnostic precision with a classification accuracy of 99.38%, an F1-Score of 99.38%, and an Area Under the ROC Curve of 99.99%. These results prove that the system can reliably discriminate between households experiencing severe disease burden and those with controlled risk profiles.</w:t>
        <w:br/>
        <w:br/>
        <w:t>Crucially, the comparative evaluation between the primary STAR model and the EBM surrogate confirms that the system achieves high predictive capacity without sacrificing clinical transparency. In medical artificial intelligence, complex algorithms such as deep neural networks and gradient boosted trees often suffer from the 'black-box' dilemma, rendering them unusable in frontline clinical settings where healthcare workers must understand why a given risk level was assigned. The EBM framework resolves this trade-off by establishing a surrogate fidelity R² of 98.02% and a decision concordance rate of 99.72%. This high concordance demonstrates that the linear additive summation g(μ) = β₀ + Σ f_j(x_j) captures over 98% of the complex nonlinear interactions without requiring opaque hidden layers.</w:t>
        <w:br/>
        <w:br/>
        <w:t>Furthermore, the global feature importance and shape function analyses reveal crucial epidemiological insights for Akwa Ibom State. Recent historical malaria cases, untreated bed net usage, and untreated drinking water emerged as the strongest positive contributors to malaria burden. Conversely, adherence to long-lasting insecticidal nets (LLINs) and professional employment by the household head functioned as powerful protective factors, consistently lowering the predicted burden score below the baseline population intercept β₀ (0.4442). These findings underscore that malaria burden in Akwa Ibom is heavily mediated by socio-economic infrastructure and environmental sanitation, demonstrating that targeted preventive subsidies (such as free distribution of LLINs and clean municipal water provision) can produce dramatic reductions in clinical burden.</w:t>
        <w:br/>
        <w:br/>
        <w:t>The practical relevance of these results extends directly to epidemiological resource targeting, municipal health budgeting, and household screening. Delivered through an interactive Streamlit web application, health officers can instantly visualize the specific positive and negative drivers for any household, inspect nearest matching surveyed clusters within 100km via live GPS Leaflet maps, and formulate personalized preventative directives. While the results demonstrate outstanding empirical performance, future work should expand the longitudinal temporal depth and incorporate real-time entomological vector-density telemetry to further strengthen the system's predictive sensitivity across seasonal monsoon surges.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