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AKWA IBOM STATE UNIVERSITY</w:t>
        <w:br/>
        <w:t>DEPARTMENT OF COMPUTER SCIENCE</w:t>
        <w:br/>
      </w:r>
      <w:r>
        <w:rPr>
          <w:b/>
          <w:color w:val="0F4E3B"/>
          <w:sz w:val="26"/>
        </w:rPr>
        <w:t>A GAUSSIAN PROCESS REGRESSION FOR FORECASTING SOLID WASTE GENERATION IN UYO MUNICIPALITY</w:t>
        <w:br/>
      </w:r>
      <w:r>
        <w:rPr>
          <w:i/>
          <w:color w:val="475569"/>
          <w:sz w:val="22"/>
        </w:rPr>
        <w:t>Candidate: EFFIONG, SAMUEL ETIM (AK22/PHS/CSC/029)</w:t>
        <w:br/>
        <w:t>Supervisor: Dr. Anietie P. Ekong</w:t>
        <w:br/>
      </w:r>
    </w:p>
    <w:p>
      <w:pPr>
        <w:spacing w:after="240"/>
      </w:pPr>
    </w:p>
    <w:p>
      <w:pPr>
        <w:pStyle w:val="Heading1"/>
      </w:pPr>
      <w:r>
        <w:t>4.1 SYSTEM DESIGN</w:t>
      </w:r>
    </w:p>
    <w:p>
      <w:pPr>
        <w:pStyle w:val="Heading2"/>
      </w:pPr>
      <w:r>
        <w:t>4.1.1 Input Specification</w:t>
      </w:r>
    </w:p>
    <w:p>
      <w:r>
        <w:t>The input specification defines the nature, structure, format, validation constraints, and transformation pipelines of all empirical and operational data entering the Gaussian Process Regression (GPR) waste forecasting system. The system accepts data through two primary operational channels:</w:t>
      </w:r>
    </w:p>
    <w:p>
      <w:pPr>
        <w:pStyle w:val="ListBullet"/>
      </w:pPr>
      <w:r>
        <w:rPr>
          <w:b/>
        </w:rPr>
        <w:t xml:space="preserve">Batch Historical Ingestion: </w:t>
      </w:r>
      <w:r>
        <w:t>An empirical 84-month longitudinal dataset (covering January 2019 through December 2025) sourced from the Akwa Ibom State Environmental Protection and Waste Management Agency (AKSEPWMA), coupled with climatic records from meteorological stations and census demographic projections.</w:t>
      </w:r>
    </w:p>
    <w:p>
      <w:pPr>
        <w:pStyle w:val="ListBullet"/>
      </w:pPr>
      <w:r>
        <w:rPr>
          <w:b/>
        </w:rPr>
        <w:t xml:space="preserve">Interactive Real-Time Input: </w:t>
      </w:r>
      <w:r>
        <w:t>User-driven parameter entry through the interactive Streamlit web interface for single-month scenario analysis or batch comma-separated values (CSV) upload for out-of-sample model evaluation and validation.</w:t>
      </w:r>
    </w:p>
    <w:p>
      <w:r>
        <w:t>Table 4.1 details the input attributes ingested by the system, including data types, units of measurement, observed empirical ranges in Uyo Municipality, validation constraints, and functional descriptions.</w:t>
      </w:r>
    </w:p>
    <w:p>
      <w:pPr>
        <w:spacing w:after="80"/>
      </w:pPr>
      <w:r>
        <w:rPr>
          <w:b/>
        </w:rPr>
        <w:t>Table 4.1: Input Data Dictionary for Uyo Municipality MSW Forecasting System</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140" w:type="dxa"/>
              <w:bottom w:w="140" w:type="dxa"/>
              <w:left w:w="140" w:type="dxa"/>
              <w:right w:w="140" w:type="dxa"/>
            </w:tcMar>
          </w:tcPr>
          <w:p>
            <w:pPr>
              <w:jc w:val="center"/>
            </w:pPr>
            <w:r>
              <w:rPr>
                <w:b/>
                <w:color w:val="FFFFFF"/>
                <w:sz w:val="19"/>
              </w:rPr>
              <w:t>S/N</w:t>
            </w:r>
          </w:p>
        </w:tc>
        <w:tc>
          <w:tcPr>
            <w:tcW w:type="dxa" w:w="1337"/>
            <w:shd w:fill="0F172A"/>
            <w:tcMar>
              <w:top w:w="140" w:type="dxa"/>
              <w:bottom w:w="140" w:type="dxa"/>
              <w:left w:w="140" w:type="dxa"/>
              <w:right w:w="140" w:type="dxa"/>
            </w:tcMar>
          </w:tcPr>
          <w:p>
            <w:pPr>
              <w:jc w:val="center"/>
            </w:pPr>
            <w:r>
              <w:rPr>
                <w:b/>
                <w:color w:val="FFFFFF"/>
                <w:sz w:val="19"/>
              </w:rPr>
              <w:t>Field / Variable Name</w:t>
            </w:r>
          </w:p>
        </w:tc>
        <w:tc>
          <w:tcPr>
            <w:tcW w:type="dxa" w:w="1337"/>
            <w:shd w:fill="0F172A"/>
            <w:tcMar>
              <w:top w:w="140" w:type="dxa"/>
              <w:bottom w:w="140" w:type="dxa"/>
              <w:left w:w="140" w:type="dxa"/>
              <w:right w:w="140" w:type="dxa"/>
            </w:tcMar>
          </w:tcPr>
          <w:p>
            <w:pPr>
              <w:jc w:val="center"/>
            </w:pPr>
            <w:r>
              <w:rPr>
                <w:b/>
                <w:color w:val="FFFFFF"/>
                <w:sz w:val="19"/>
              </w:rPr>
              <w:t>Data Type</w:t>
            </w:r>
          </w:p>
        </w:tc>
        <w:tc>
          <w:tcPr>
            <w:tcW w:type="dxa" w:w="1337"/>
            <w:shd w:fill="0F172A"/>
            <w:tcMar>
              <w:top w:w="140" w:type="dxa"/>
              <w:bottom w:w="140" w:type="dxa"/>
              <w:left w:w="140" w:type="dxa"/>
              <w:right w:w="140" w:type="dxa"/>
            </w:tcMar>
          </w:tcPr>
          <w:p>
            <w:pPr>
              <w:jc w:val="center"/>
            </w:pPr>
            <w:r>
              <w:rPr>
                <w:b/>
                <w:color w:val="FFFFFF"/>
                <w:sz w:val="19"/>
              </w:rPr>
              <w:t>Measurement Unit</w:t>
            </w:r>
          </w:p>
        </w:tc>
        <w:tc>
          <w:tcPr>
            <w:tcW w:type="dxa" w:w="1337"/>
            <w:shd w:fill="0F172A"/>
            <w:tcMar>
              <w:top w:w="140" w:type="dxa"/>
              <w:bottom w:w="140" w:type="dxa"/>
              <w:left w:w="140" w:type="dxa"/>
              <w:right w:w="140" w:type="dxa"/>
            </w:tcMar>
          </w:tcPr>
          <w:p>
            <w:pPr>
              <w:jc w:val="center"/>
            </w:pPr>
            <w:r>
              <w:rPr>
                <w:b/>
                <w:color w:val="FFFFFF"/>
                <w:sz w:val="19"/>
              </w:rPr>
              <w:t>Empirical Range</w:t>
            </w:r>
          </w:p>
        </w:tc>
        <w:tc>
          <w:tcPr>
            <w:tcW w:type="dxa" w:w="1337"/>
            <w:shd w:fill="0F172A"/>
            <w:tcMar>
              <w:top w:w="140" w:type="dxa"/>
              <w:bottom w:w="140" w:type="dxa"/>
              <w:left w:w="140" w:type="dxa"/>
              <w:right w:w="140" w:type="dxa"/>
            </w:tcMar>
          </w:tcPr>
          <w:p>
            <w:pPr>
              <w:jc w:val="center"/>
            </w:pPr>
            <w:r>
              <w:rPr>
                <w:b/>
                <w:color w:val="FFFFFF"/>
                <w:sz w:val="19"/>
              </w:rPr>
              <w:t>Validation Constraints</w:t>
            </w:r>
          </w:p>
        </w:tc>
        <w:tc>
          <w:tcPr>
            <w:tcW w:type="dxa" w:w="1337"/>
            <w:shd w:fill="0F172A"/>
            <w:tcMar>
              <w:top w:w="140" w:type="dxa"/>
              <w:bottom w:w="140" w:type="dxa"/>
              <w:left w:w="140" w:type="dxa"/>
              <w:right w:w="140" w:type="dxa"/>
            </w:tcMar>
          </w:tcPr>
          <w:p>
            <w:pPr>
              <w:jc w:val="center"/>
            </w:pPr>
            <w:r>
              <w:rPr>
                <w:b/>
                <w:color w:val="FFFFFF"/>
                <w:sz w:val="19"/>
              </w:rPr>
              <w:t>Description &amp; Source</w:t>
            </w:r>
          </w:p>
        </w:tc>
      </w:tr>
      <w:tr>
        <w:tc>
          <w:tcPr>
            <w:tcW w:type="dxa" w:w="1337"/>
            <w:shd w:fill="FFFFFF"/>
            <w:tcMar>
              <w:top w:w="100" w:type="dxa"/>
              <w:bottom w:w="100" w:type="dxa"/>
              <w:left w:w="120" w:type="dxa"/>
              <w:right w:w="120" w:type="dxa"/>
            </w:tcMar>
          </w:tcPr>
          <w:p>
            <w:pPr>
              <w:jc w:val="center"/>
            </w:pPr>
            <w:r>
              <w:rPr>
                <w:color w:val="0F172A"/>
                <w:sz w:val="18"/>
              </w:rPr>
              <w:t>1</w:t>
            </w:r>
          </w:p>
        </w:tc>
        <w:tc>
          <w:tcPr>
            <w:tcW w:type="dxa" w:w="1337"/>
            <w:shd w:fill="FFFFFF"/>
            <w:tcMar>
              <w:top w:w="100" w:type="dxa"/>
              <w:bottom w:w="100" w:type="dxa"/>
              <w:left w:w="120" w:type="dxa"/>
              <w:right w:w="120" w:type="dxa"/>
            </w:tcMar>
          </w:tcPr>
          <w:p>
            <w:pPr>
              <w:jc w:val="left"/>
            </w:pPr>
            <w:r>
              <w:rPr>
                <w:color w:val="0F172A"/>
                <w:sz w:val="18"/>
              </w:rPr>
              <w:t>date</w:t>
            </w:r>
          </w:p>
        </w:tc>
        <w:tc>
          <w:tcPr>
            <w:tcW w:type="dxa" w:w="1337"/>
            <w:shd w:fill="FFFFFF"/>
            <w:tcMar>
              <w:top w:w="100" w:type="dxa"/>
              <w:bottom w:w="100" w:type="dxa"/>
              <w:left w:w="120" w:type="dxa"/>
              <w:right w:w="120" w:type="dxa"/>
            </w:tcMar>
          </w:tcPr>
          <w:p>
            <w:pPr>
              <w:jc w:val="center"/>
            </w:pPr>
            <w:r>
              <w:rPr>
                <w:color w:val="0F172A"/>
                <w:sz w:val="18"/>
              </w:rPr>
              <w:t>Date / String</w:t>
            </w:r>
          </w:p>
        </w:tc>
        <w:tc>
          <w:tcPr>
            <w:tcW w:type="dxa" w:w="1337"/>
            <w:shd w:fill="FFFFFF"/>
            <w:tcMar>
              <w:top w:w="100" w:type="dxa"/>
              <w:bottom w:w="100" w:type="dxa"/>
              <w:left w:w="120" w:type="dxa"/>
              <w:right w:w="120" w:type="dxa"/>
            </w:tcMar>
          </w:tcPr>
          <w:p>
            <w:pPr>
              <w:jc w:val="center"/>
            </w:pPr>
            <w:r>
              <w:rPr>
                <w:color w:val="0F172A"/>
                <w:sz w:val="18"/>
              </w:rPr>
              <w:t>YYYY-MM</w:t>
            </w:r>
          </w:p>
        </w:tc>
        <w:tc>
          <w:tcPr>
            <w:tcW w:type="dxa" w:w="1337"/>
            <w:shd w:fill="FFFFFF"/>
            <w:tcMar>
              <w:top w:w="100" w:type="dxa"/>
              <w:bottom w:w="100" w:type="dxa"/>
              <w:left w:w="120" w:type="dxa"/>
              <w:right w:w="120" w:type="dxa"/>
            </w:tcMar>
          </w:tcPr>
          <w:p>
            <w:pPr>
              <w:jc w:val="left"/>
            </w:pPr>
            <w:r>
              <w:rPr>
                <w:color w:val="0F172A"/>
                <w:sz w:val="18"/>
              </w:rPr>
              <w:t>2019-01 to 2025-12</w:t>
            </w:r>
          </w:p>
        </w:tc>
        <w:tc>
          <w:tcPr>
            <w:tcW w:type="dxa" w:w="1337"/>
            <w:shd w:fill="FFFFFF"/>
            <w:tcMar>
              <w:top w:w="100" w:type="dxa"/>
              <w:bottom w:w="100" w:type="dxa"/>
              <w:left w:w="120" w:type="dxa"/>
              <w:right w:w="120" w:type="dxa"/>
            </w:tcMar>
          </w:tcPr>
          <w:p>
            <w:pPr>
              <w:jc w:val="left"/>
            </w:pPr>
            <w:r>
              <w:rPr>
                <w:color w:val="0F172A"/>
                <w:sz w:val="18"/>
              </w:rPr>
              <w:t>Valid ISO calendar month; chronological order</w:t>
            </w:r>
          </w:p>
        </w:tc>
        <w:tc>
          <w:tcPr>
            <w:tcW w:type="dxa" w:w="1337"/>
            <w:shd w:fill="FFFFFF"/>
            <w:tcMar>
              <w:top w:w="100" w:type="dxa"/>
              <w:bottom w:w="100" w:type="dxa"/>
              <w:left w:w="120" w:type="dxa"/>
              <w:right w:w="120" w:type="dxa"/>
            </w:tcMar>
          </w:tcPr>
          <w:p>
            <w:pPr>
              <w:jc w:val="left"/>
            </w:pPr>
            <w:r>
              <w:rPr>
                <w:color w:val="0F172A"/>
                <w:sz w:val="18"/>
              </w:rPr>
              <w:t>Monthly observation timestamp (AKSEPWMA records).</w:t>
            </w:r>
          </w:p>
        </w:tc>
      </w:tr>
      <w:tr>
        <w:tc>
          <w:tcPr>
            <w:tcW w:type="dxa" w:w="1337"/>
            <w:shd w:fill="F8FAFC"/>
            <w:tcMar>
              <w:top w:w="100" w:type="dxa"/>
              <w:bottom w:w="100" w:type="dxa"/>
              <w:left w:w="120" w:type="dxa"/>
              <w:right w:w="120" w:type="dxa"/>
            </w:tcMar>
          </w:tcPr>
          <w:p>
            <w:pPr>
              <w:jc w:val="center"/>
            </w:pPr>
            <w:r>
              <w:rPr>
                <w:color w:val="0F172A"/>
                <w:sz w:val="18"/>
              </w:rPr>
              <w:t>2</w:t>
            </w:r>
          </w:p>
        </w:tc>
        <w:tc>
          <w:tcPr>
            <w:tcW w:type="dxa" w:w="1337"/>
            <w:shd w:fill="F8FAFC"/>
            <w:tcMar>
              <w:top w:w="100" w:type="dxa"/>
              <w:bottom w:w="100" w:type="dxa"/>
              <w:left w:w="120" w:type="dxa"/>
              <w:right w:w="120" w:type="dxa"/>
            </w:tcMar>
          </w:tcPr>
          <w:p>
            <w:pPr>
              <w:jc w:val="left"/>
            </w:pPr>
            <w:r>
              <w:rPr>
                <w:color w:val="0F172A"/>
                <w:sz w:val="18"/>
              </w:rPr>
              <w:t>population</w:t>
            </w:r>
          </w:p>
        </w:tc>
        <w:tc>
          <w:tcPr>
            <w:tcW w:type="dxa" w:w="1337"/>
            <w:shd w:fill="F8FAFC"/>
            <w:tcMar>
              <w:top w:w="100" w:type="dxa"/>
              <w:bottom w:w="100" w:type="dxa"/>
              <w:left w:w="120" w:type="dxa"/>
              <w:right w:w="120" w:type="dxa"/>
            </w:tcMar>
          </w:tcPr>
          <w:p>
            <w:pPr>
              <w:jc w:val="center"/>
            </w:pPr>
            <w:r>
              <w:rPr>
                <w:color w:val="0F172A"/>
                <w:sz w:val="18"/>
              </w:rPr>
              <w:t>Integer</w:t>
            </w:r>
          </w:p>
        </w:tc>
        <w:tc>
          <w:tcPr>
            <w:tcW w:type="dxa" w:w="1337"/>
            <w:shd w:fill="F8FAFC"/>
            <w:tcMar>
              <w:top w:w="100" w:type="dxa"/>
              <w:bottom w:w="100" w:type="dxa"/>
              <w:left w:w="120" w:type="dxa"/>
              <w:right w:w="120" w:type="dxa"/>
            </w:tcMar>
          </w:tcPr>
          <w:p>
            <w:pPr>
              <w:jc w:val="center"/>
            </w:pPr>
            <w:r>
              <w:rPr>
                <w:color w:val="0F172A"/>
                <w:sz w:val="18"/>
              </w:rPr>
              <w:t>Persons</w:t>
            </w:r>
          </w:p>
        </w:tc>
        <w:tc>
          <w:tcPr>
            <w:tcW w:type="dxa" w:w="1337"/>
            <w:shd w:fill="F8FAFC"/>
            <w:tcMar>
              <w:top w:w="100" w:type="dxa"/>
              <w:bottom w:w="100" w:type="dxa"/>
              <w:left w:w="120" w:type="dxa"/>
              <w:right w:w="120" w:type="dxa"/>
            </w:tcMar>
          </w:tcPr>
          <w:p>
            <w:pPr>
              <w:jc w:val="left"/>
            </w:pPr>
            <w:r>
              <w:rPr>
                <w:color w:val="0F172A"/>
                <w:sz w:val="18"/>
              </w:rPr>
              <w:t>496,000 – 595,000</w:t>
            </w:r>
          </w:p>
        </w:tc>
        <w:tc>
          <w:tcPr>
            <w:tcW w:type="dxa" w:w="1337"/>
            <w:shd w:fill="F8FAFC"/>
            <w:tcMar>
              <w:top w:w="100" w:type="dxa"/>
              <w:bottom w:w="100" w:type="dxa"/>
              <w:left w:w="120" w:type="dxa"/>
              <w:right w:w="120" w:type="dxa"/>
            </w:tcMar>
          </w:tcPr>
          <w:p>
            <w:pPr>
              <w:jc w:val="left"/>
            </w:pPr>
            <w:r>
              <w:rPr>
                <w:color w:val="0F172A"/>
                <w:sz w:val="18"/>
              </w:rPr>
              <w:t>Pt &gt; 0; monotonically non-decreasing</w:t>
            </w:r>
          </w:p>
        </w:tc>
        <w:tc>
          <w:tcPr>
            <w:tcW w:type="dxa" w:w="1337"/>
            <w:shd w:fill="F8FAFC"/>
            <w:tcMar>
              <w:top w:w="100" w:type="dxa"/>
              <w:bottom w:w="100" w:type="dxa"/>
              <w:left w:w="120" w:type="dxa"/>
              <w:right w:w="120" w:type="dxa"/>
            </w:tcMar>
          </w:tcPr>
          <w:p>
            <w:pPr>
              <w:jc w:val="left"/>
            </w:pPr>
            <w:r>
              <w:rPr>
                <w:color w:val="0F172A"/>
                <w:sz w:val="18"/>
              </w:rPr>
              <w:t>Projected human population of Uyo Municipality based on National Population Commission (NPC) baseline.</w:t>
            </w:r>
          </w:p>
        </w:tc>
      </w:tr>
      <w:tr>
        <w:tc>
          <w:tcPr>
            <w:tcW w:type="dxa" w:w="1337"/>
            <w:shd w:fill="FFFFFF"/>
            <w:tcMar>
              <w:top w:w="100" w:type="dxa"/>
              <w:bottom w:w="100" w:type="dxa"/>
              <w:left w:w="120" w:type="dxa"/>
              <w:right w:w="120" w:type="dxa"/>
            </w:tcMar>
          </w:tcPr>
          <w:p>
            <w:pPr>
              <w:jc w:val="center"/>
            </w:pPr>
            <w:r>
              <w:rPr>
                <w:color w:val="0F172A"/>
                <w:sz w:val="18"/>
              </w:rPr>
              <w:t>3</w:t>
            </w:r>
          </w:p>
        </w:tc>
        <w:tc>
          <w:tcPr>
            <w:tcW w:type="dxa" w:w="1337"/>
            <w:shd w:fill="FFFFFF"/>
            <w:tcMar>
              <w:top w:w="100" w:type="dxa"/>
              <w:bottom w:w="100" w:type="dxa"/>
              <w:left w:w="120" w:type="dxa"/>
              <w:right w:w="120" w:type="dxa"/>
            </w:tcMar>
          </w:tcPr>
          <w:p>
            <w:pPr>
              <w:jc w:val="left"/>
            </w:pPr>
            <w:r>
              <w:rPr>
                <w:color w:val="0F172A"/>
                <w:sz w:val="18"/>
              </w:rPr>
              <w:t>avg_temperature_c</w:t>
            </w:r>
          </w:p>
        </w:tc>
        <w:tc>
          <w:tcPr>
            <w:tcW w:type="dxa" w:w="1337"/>
            <w:shd w:fill="FFFFFF"/>
            <w:tcMar>
              <w:top w:w="100" w:type="dxa"/>
              <w:bottom w:w="100" w:type="dxa"/>
              <w:left w:w="120" w:type="dxa"/>
              <w:right w:w="120" w:type="dxa"/>
            </w:tcMar>
          </w:tcPr>
          <w:p>
            <w:pPr>
              <w:jc w:val="center"/>
            </w:pPr>
            <w:r>
              <w:rPr>
                <w:color w:val="0F172A"/>
                <w:sz w:val="18"/>
              </w:rPr>
              <w:t>Float</w:t>
            </w:r>
          </w:p>
        </w:tc>
        <w:tc>
          <w:tcPr>
            <w:tcW w:type="dxa" w:w="1337"/>
            <w:shd w:fill="FFFFFF"/>
            <w:tcMar>
              <w:top w:w="100" w:type="dxa"/>
              <w:bottom w:w="100" w:type="dxa"/>
              <w:left w:w="120" w:type="dxa"/>
              <w:right w:w="120" w:type="dxa"/>
            </w:tcMar>
          </w:tcPr>
          <w:p>
            <w:pPr>
              <w:jc w:val="center"/>
            </w:pPr>
            <w:r>
              <w:rPr>
                <w:color w:val="0F172A"/>
                <w:sz w:val="18"/>
              </w:rPr>
              <w:t>Degrees Celsius (°C)</w:t>
            </w:r>
          </w:p>
        </w:tc>
        <w:tc>
          <w:tcPr>
            <w:tcW w:type="dxa" w:w="1337"/>
            <w:shd w:fill="FFFFFF"/>
            <w:tcMar>
              <w:top w:w="100" w:type="dxa"/>
              <w:bottom w:w="100" w:type="dxa"/>
              <w:left w:w="120" w:type="dxa"/>
              <w:right w:w="120" w:type="dxa"/>
            </w:tcMar>
          </w:tcPr>
          <w:p>
            <w:pPr>
              <w:jc w:val="left"/>
            </w:pPr>
            <w:r>
              <w:rPr>
                <w:color w:val="0F172A"/>
                <w:sz w:val="18"/>
              </w:rPr>
              <w:t>24.8 – 28.5 °C</w:t>
            </w:r>
          </w:p>
        </w:tc>
        <w:tc>
          <w:tcPr>
            <w:tcW w:type="dxa" w:w="1337"/>
            <w:shd w:fill="FFFFFF"/>
            <w:tcMar>
              <w:top w:w="100" w:type="dxa"/>
              <w:bottom w:w="100" w:type="dxa"/>
              <w:left w:w="120" w:type="dxa"/>
              <w:right w:w="120" w:type="dxa"/>
            </w:tcMar>
          </w:tcPr>
          <w:p>
            <w:pPr>
              <w:jc w:val="left"/>
            </w:pPr>
            <w:r>
              <w:rPr>
                <w:color w:val="0F172A"/>
                <w:sz w:val="18"/>
              </w:rPr>
              <w:t>18.0 ≤ T ≤ 42.0</w:t>
            </w:r>
          </w:p>
        </w:tc>
        <w:tc>
          <w:tcPr>
            <w:tcW w:type="dxa" w:w="1337"/>
            <w:shd w:fill="FFFFFF"/>
            <w:tcMar>
              <w:top w:w="100" w:type="dxa"/>
              <w:bottom w:w="100" w:type="dxa"/>
              <w:left w:w="120" w:type="dxa"/>
              <w:right w:w="120" w:type="dxa"/>
            </w:tcMar>
          </w:tcPr>
          <w:p>
            <w:pPr>
              <w:jc w:val="left"/>
            </w:pPr>
            <w:r>
              <w:rPr>
                <w:color w:val="0F172A"/>
                <w:sz w:val="18"/>
              </w:rPr>
              <w:t>Mean monthly ambient surface temperature in Uyo (influences organic decay and generation rates).</w:t>
            </w:r>
          </w:p>
        </w:tc>
      </w:tr>
      <w:tr>
        <w:tc>
          <w:tcPr>
            <w:tcW w:type="dxa" w:w="1337"/>
            <w:shd w:fill="F8FAFC"/>
            <w:tcMar>
              <w:top w:w="100" w:type="dxa"/>
              <w:bottom w:w="100" w:type="dxa"/>
              <w:left w:w="120" w:type="dxa"/>
              <w:right w:w="120" w:type="dxa"/>
            </w:tcMar>
          </w:tcPr>
          <w:p>
            <w:pPr>
              <w:jc w:val="center"/>
            </w:pPr>
            <w:r>
              <w:rPr>
                <w:color w:val="0F172A"/>
                <w:sz w:val="18"/>
              </w:rPr>
              <w:t>4</w:t>
            </w:r>
          </w:p>
        </w:tc>
        <w:tc>
          <w:tcPr>
            <w:tcW w:type="dxa" w:w="1337"/>
            <w:shd w:fill="F8FAFC"/>
            <w:tcMar>
              <w:top w:w="100" w:type="dxa"/>
              <w:bottom w:w="100" w:type="dxa"/>
              <w:left w:w="120" w:type="dxa"/>
              <w:right w:w="120" w:type="dxa"/>
            </w:tcMar>
          </w:tcPr>
          <w:p>
            <w:pPr>
              <w:jc w:val="left"/>
            </w:pPr>
            <w:r>
              <w:rPr>
                <w:color w:val="0F172A"/>
                <w:sz w:val="18"/>
              </w:rPr>
              <w:t>rainfall_mm</w:t>
            </w:r>
          </w:p>
        </w:tc>
        <w:tc>
          <w:tcPr>
            <w:tcW w:type="dxa" w:w="1337"/>
            <w:shd w:fill="F8FAFC"/>
            <w:tcMar>
              <w:top w:w="100" w:type="dxa"/>
              <w:bottom w:w="100" w:type="dxa"/>
              <w:left w:w="120" w:type="dxa"/>
              <w:right w:w="120" w:type="dxa"/>
            </w:tcMar>
          </w:tcPr>
          <w:p>
            <w:pPr>
              <w:jc w:val="center"/>
            </w:pPr>
            <w:r>
              <w:rPr>
                <w:color w:val="0F172A"/>
                <w:sz w:val="18"/>
              </w:rPr>
              <w:t>Float</w:t>
            </w:r>
          </w:p>
        </w:tc>
        <w:tc>
          <w:tcPr>
            <w:tcW w:type="dxa" w:w="1337"/>
            <w:shd w:fill="F8FAFC"/>
            <w:tcMar>
              <w:top w:w="100" w:type="dxa"/>
              <w:bottom w:w="100" w:type="dxa"/>
              <w:left w:w="120" w:type="dxa"/>
              <w:right w:w="120" w:type="dxa"/>
            </w:tcMar>
          </w:tcPr>
          <w:p>
            <w:pPr>
              <w:jc w:val="center"/>
            </w:pPr>
            <w:r>
              <w:rPr>
                <w:color w:val="0F172A"/>
                <w:sz w:val="18"/>
              </w:rPr>
              <w:t>Millimetres (mm)</w:t>
            </w:r>
          </w:p>
        </w:tc>
        <w:tc>
          <w:tcPr>
            <w:tcW w:type="dxa" w:w="1337"/>
            <w:shd w:fill="F8FAFC"/>
            <w:tcMar>
              <w:top w:w="100" w:type="dxa"/>
              <w:bottom w:w="100" w:type="dxa"/>
              <w:left w:w="120" w:type="dxa"/>
              <w:right w:w="120" w:type="dxa"/>
            </w:tcMar>
          </w:tcPr>
          <w:p>
            <w:pPr>
              <w:jc w:val="left"/>
            </w:pPr>
            <w:r>
              <w:rPr>
                <w:color w:val="0F172A"/>
                <w:sz w:val="18"/>
              </w:rPr>
              <w:t>12.0 – 510.5 mm</w:t>
            </w:r>
          </w:p>
        </w:tc>
        <w:tc>
          <w:tcPr>
            <w:tcW w:type="dxa" w:w="1337"/>
            <w:shd w:fill="F8FAFC"/>
            <w:tcMar>
              <w:top w:w="100" w:type="dxa"/>
              <w:bottom w:w="100" w:type="dxa"/>
              <w:left w:w="120" w:type="dxa"/>
              <w:right w:w="120" w:type="dxa"/>
            </w:tcMar>
          </w:tcPr>
          <w:p>
            <w:pPr>
              <w:jc w:val="left"/>
            </w:pPr>
            <w:r>
              <w:rPr>
                <w:color w:val="0F172A"/>
                <w:sz w:val="18"/>
              </w:rPr>
              <w:t>Rt ≥ 0.0</w:t>
            </w:r>
          </w:p>
        </w:tc>
        <w:tc>
          <w:tcPr>
            <w:tcW w:type="dxa" w:w="1337"/>
            <w:shd w:fill="F8FAFC"/>
            <w:tcMar>
              <w:top w:w="100" w:type="dxa"/>
              <w:bottom w:w="100" w:type="dxa"/>
              <w:left w:w="120" w:type="dxa"/>
              <w:right w:w="120" w:type="dxa"/>
            </w:tcMar>
          </w:tcPr>
          <w:p>
            <w:pPr>
              <w:jc w:val="left"/>
            </w:pPr>
            <w:r>
              <w:rPr>
                <w:color w:val="0F172A"/>
                <w:sz w:val="18"/>
              </w:rPr>
              <w:t>Cumulative monthly precipitation depth; key driver of waste moisture, vegetable waste, and logistics.</w:t>
            </w:r>
          </w:p>
        </w:tc>
      </w:tr>
      <w:tr>
        <w:tc>
          <w:tcPr>
            <w:tcW w:type="dxa" w:w="1337"/>
            <w:shd w:fill="FFFFFF"/>
            <w:tcMar>
              <w:top w:w="100" w:type="dxa"/>
              <w:bottom w:w="100" w:type="dxa"/>
              <w:left w:w="120" w:type="dxa"/>
              <w:right w:w="120" w:type="dxa"/>
            </w:tcMar>
          </w:tcPr>
          <w:p>
            <w:pPr>
              <w:jc w:val="center"/>
            </w:pPr>
            <w:r>
              <w:rPr>
                <w:color w:val="0F172A"/>
                <w:sz w:val="18"/>
              </w:rPr>
              <w:t>5</w:t>
            </w:r>
          </w:p>
        </w:tc>
        <w:tc>
          <w:tcPr>
            <w:tcW w:type="dxa" w:w="1337"/>
            <w:shd w:fill="FFFFFF"/>
            <w:tcMar>
              <w:top w:w="100" w:type="dxa"/>
              <w:bottom w:w="100" w:type="dxa"/>
              <w:left w:w="120" w:type="dxa"/>
              <w:right w:w="120" w:type="dxa"/>
            </w:tcMar>
          </w:tcPr>
          <w:p>
            <w:pPr>
              <w:jc w:val="left"/>
            </w:pPr>
            <w:r>
              <w:rPr>
                <w:color w:val="0F172A"/>
                <w:sz w:val="18"/>
              </w:rPr>
              <w:t>humidity_percent</w:t>
            </w:r>
          </w:p>
        </w:tc>
        <w:tc>
          <w:tcPr>
            <w:tcW w:type="dxa" w:w="1337"/>
            <w:shd w:fill="FFFFFF"/>
            <w:tcMar>
              <w:top w:w="100" w:type="dxa"/>
              <w:bottom w:w="100" w:type="dxa"/>
              <w:left w:w="120" w:type="dxa"/>
              <w:right w:w="120" w:type="dxa"/>
            </w:tcMar>
          </w:tcPr>
          <w:p>
            <w:pPr>
              <w:jc w:val="center"/>
            </w:pPr>
            <w:r>
              <w:rPr>
                <w:color w:val="0F172A"/>
                <w:sz w:val="18"/>
              </w:rPr>
              <w:t>Float</w:t>
            </w:r>
          </w:p>
        </w:tc>
        <w:tc>
          <w:tcPr>
            <w:tcW w:type="dxa" w:w="1337"/>
            <w:shd w:fill="FFFFFF"/>
            <w:tcMar>
              <w:top w:w="100" w:type="dxa"/>
              <w:bottom w:w="100" w:type="dxa"/>
              <w:left w:w="120" w:type="dxa"/>
              <w:right w:w="120" w:type="dxa"/>
            </w:tcMar>
          </w:tcPr>
          <w:p>
            <w:pPr>
              <w:jc w:val="center"/>
            </w:pPr>
            <w:r>
              <w:rPr>
                <w:color w:val="0F172A"/>
                <w:sz w:val="18"/>
              </w:rPr>
              <w:t>Percentage (%)</w:t>
            </w:r>
          </w:p>
        </w:tc>
        <w:tc>
          <w:tcPr>
            <w:tcW w:type="dxa" w:w="1337"/>
            <w:shd w:fill="FFFFFF"/>
            <w:tcMar>
              <w:top w:w="100" w:type="dxa"/>
              <w:bottom w:w="100" w:type="dxa"/>
              <w:left w:w="120" w:type="dxa"/>
              <w:right w:w="120" w:type="dxa"/>
            </w:tcMar>
          </w:tcPr>
          <w:p>
            <w:pPr>
              <w:jc w:val="left"/>
            </w:pPr>
            <w:r>
              <w:rPr>
                <w:color w:val="0F172A"/>
                <w:sz w:val="18"/>
              </w:rPr>
              <w:t>74.0 – 91.5 %</w:t>
            </w:r>
          </w:p>
        </w:tc>
        <w:tc>
          <w:tcPr>
            <w:tcW w:type="dxa" w:w="1337"/>
            <w:shd w:fill="FFFFFF"/>
            <w:tcMar>
              <w:top w:w="100" w:type="dxa"/>
              <w:bottom w:w="100" w:type="dxa"/>
              <w:left w:w="120" w:type="dxa"/>
              <w:right w:w="120" w:type="dxa"/>
            </w:tcMar>
          </w:tcPr>
          <w:p>
            <w:pPr>
              <w:jc w:val="left"/>
            </w:pPr>
            <w:r>
              <w:rPr>
                <w:color w:val="0F172A"/>
                <w:sz w:val="18"/>
              </w:rPr>
              <w:t>0.0 ≤ H ≤ 100.0</w:t>
            </w:r>
          </w:p>
        </w:tc>
        <w:tc>
          <w:tcPr>
            <w:tcW w:type="dxa" w:w="1337"/>
            <w:shd w:fill="FFFFFF"/>
            <w:tcMar>
              <w:top w:w="100" w:type="dxa"/>
              <w:bottom w:w="100" w:type="dxa"/>
              <w:left w:w="120" w:type="dxa"/>
              <w:right w:w="120" w:type="dxa"/>
            </w:tcMar>
          </w:tcPr>
          <w:p>
            <w:pPr>
              <w:jc w:val="left"/>
            </w:pPr>
            <w:r>
              <w:rPr>
                <w:color w:val="0F172A"/>
                <w:sz w:val="18"/>
              </w:rPr>
              <w:t>Mean monthly relative atmospheric humidity in Uyo Municipality.</w:t>
            </w:r>
          </w:p>
        </w:tc>
      </w:tr>
      <w:tr>
        <w:tc>
          <w:tcPr>
            <w:tcW w:type="dxa" w:w="1337"/>
            <w:shd w:fill="F8FAFC"/>
            <w:tcMar>
              <w:top w:w="100" w:type="dxa"/>
              <w:bottom w:w="100" w:type="dxa"/>
              <w:left w:w="120" w:type="dxa"/>
              <w:right w:w="120" w:type="dxa"/>
            </w:tcMar>
          </w:tcPr>
          <w:p>
            <w:pPr>
              <w:jc w:val="center"/>
            </w:pPr>
            <w:r>
              <w:rPr>
                <w:color w:val="0F172A"/>
                <w:sz w:val="18"/>
              </w:rPr>
              <w:t>6</w:t>
            </w:r>
          </w:p>
        </w:tc>
        <w:tc>
          <w:tcPr>
            <w:tcW w:type="dxa" w:w="1337"/>
            <w:shd w:fill="F8FAFC"/>
            <w:tcMar>
              <w:top w:w="100" w:type="dxa"/>
              <w:bottom w:w="100" w:type="dxa"/>
              <w:left w:w="120" w:type="dxa"/>
              <w:right w:w="120" w:type="dxa"/>
            </w:tcMar>
          </w:tcPr>
          <w:p>
            <w:pPr>
              <w:jc w:val="left"/>
            </w:pPr>
            <w:r>
              <w:rPr>
                <w:color w:val="0F172A"/>
                <w:sz w:val="18"/>
              </w:rPr>
              <w:t>public_holidays</w:t>
            </w:r>
          </w:p>
        </w:tc>
        <w:tc>
          <w:tcPr>
            <w:tcW w:type="dxa" w:w="1337"/>
            <w:shd w:fill="F8FAFC"/>
            <w:tcMar>
              <w:top w:w="100" w:type="dxa"/>
              <w:bottom w:w="100" w:type="dxa"/>
              <w:left w:w="120" w:type="dxa"/>
              <w:right w:w="120" w:type="dxa"/>
            </w:tcMar>
          </w:tcPr>
          <w:p>
            <w:pPr>
              <w:jc w:val="center"/>
            </w:pPr>
            <w:r>
              <w:rPr>
                <w:color w:val="0F172A"/>
                <w:sz w:val="18"/>
              </w:rPr>
              <w:t>String</w:t>
            </w:r>
          </w:p>
        </w:tc>
        <w:tc>
          <w:tcPr>
            <w:tcW w:type="dxa" w:w="1337"/>
            <w:shd w:fill="F8FAFC"/>
            <w:tcMar>
              <w:top w:w="100" w:type="dxa"/>
              <w:bottom w:w="100" w:type="dxa"/>
              <w:left w:w="120" w:type="dxa"/>
              <w:right w:w="120" w:type="dxa"/>
            </w:tcMar>
          </w:tcPr>
          <w:p>
            <w:pPr>
              <w:jc w:val="center"/>
            </w:pPr>
            <w:r>
              <w:rPr>
                <w:color w:val="0F172A"/>
                <w:sz w:val="18"/>
              </w:rPr>
              <w:t>Delimited Dates</w:t>
            </w:r>
          </w:p>
        </w:tc>
        <w:tc>
          <w:tcPr>
            <w:tcW w:type="dxa" w:w="1337"/>
            <w:shd w:fill="F8FAFC"/>
            <w:tcMar>
              <w:top w:w="100" w:type="dxa"/>
              <w:bottom w:w="100" w:type="dxa"/>
              <w:left w:w="120" w:type="dxa"/>
              <w:right w:w="120" w:type="dxa"/>
            </w:tcMar>
          </w:tcPr>
          <w:p>
            <w:pPr>
              <w:jc w:val="left"/>
            </w:pPr>
            <w:r>
              <w:rPr>
                <w:color w:val="0F172A"/>
                <w:sz w:val="18"/>
              </w:rPr>
              <w:t>N/A</w:t>
            </w:r>
          </w:p>
        </w:tc>
        <w:tc>
          <w:tcPr>
            <w:tcW w:type="dxa" w:w="1337"/>
            <w:shd w:fill="F8FAFC"/>
            <w:tcMar>
              <w:top w:w="100" w:type="dxa"/>
              <w:bottom w:w="100" w:type="dxa"/>
              <w:left w:w="120" w:type="dxa"/>
              <w:right w:w="120" w:type="dxa"/>
            </w:tcMar>
          </w:tcPr>
          <w:p>
            <w:pPr>
              <w:jc w:val="left"/>
            </w:pPr>
            <w:r>
              <w:rPr>
                <w:color w:val="0F172A"/>
                <w:sz w:val="18"/>
              </w:rPr>
              <w:t>Semicolon-delimited calendar dates</w:t>
            </w:r>
          </w:p>
        </w:tc>
        <w:tc>
          <w:tcPr>
            <w:tcW w:type="dxa" w:w="1337"/>
            <w:shd w:fill="F8FAFC"/>
            <w:tcMar>
              <w:top w:w="100" w:type="dxa"/>
              <w:bottom w:w="100" w:type="dxa"/>
              <w:left w:w="120" w:type="dxa"/>
              <w:right w:w="120" w:type="dxa"/>
            </w:tcMar>
          </w:tcPr>
          <w:p>
            <w:pPr>
              <w:jc w:val="left"/>
            </w:pPr>
            <w:r>
              <w:rPr>
                <w:color w:val="0F172A"/>
                <w:sz w:val="18"/>
              </w:rPr>
              <w:t>Registry of statutory national, state, and religious public holidays in Nigeria occurring in the month.</w:t>
            </w:r>
          </w:p>
        </w:tc>
      </w:tr>
      <w:tr>
        <w:tc>
          <w:tcPr>
            <w:tcW w:type="dxa" w:w="1337"/>
            <w:shd w:fill="FFFFFF"/>
            <w:tcMar>
              <w:top w:w="100" w:type="dxa"/>
              <w:bottom w:w="100" w:type="dxa"/>
              <w:left w:w="120" w:type="dxa"/>
              <w:right w:w="120" w:type="dxa"/>
            </w:tcMar>
          </w:tcPr>
          <w:p>
            <w:pPr>
              <w:jc w:val="center"/>
            </w:pPr>
            <w:r>
              <w:rPr>
                <w:color w:val="0F172A"/>
                <w:sz w:val="18"/>
              </w:rPr>
              <w:t>7</w:t>
            </w:r>
          </w:p>
        </w:tc>
        <w:tc>
          <w:tcPr>
            <w:tcW w:type="dxa" w:w="1337"/>
            <w:shd w:fill="FFFFFF"/>
            <w:tcMar>
              <w:top w:w="100" w:type="dxa"/>
              <w:bottom w:w="100" w:type="dxa"/>
              <w:left w:w="120" w:type="dxa"/>
              <w:right w:w="120" w:type="dxa"/>
            </w:tcMar>
          </w:tcPr>
          <w:p>
            <w:pPr>
              <w:jc w:val="left"/>
            </w:pPr>
            <w:r>
              <w:rPr>
                <w:color w:val="0F172A"/>
                <w:sz w:val="18"/>
              </w:rPr>
              <w:t>num_holidays</w:t>
            </w:r>
          </w:p>
        </w:tc>
        <w:tc>
          <w:tcPr>
            <w:tcW w:type="dxa" w:w="1337"/>
            <w:shd w:fill="FFFFFF"/>
            <w:tcMar>
              <w:top w:w="100" w:type="dxa"/>
              <w:bottom w:w="100" w:type="dxa"/>
              <w:left w:w="120" w:type="dxa"/>
              <w:right w:w="120" w:type="dxa"/>
            </w:tcMar>
          </w:tcPr>
          <w:p>
            <w:pPr>
              <w:jc w:val="center"/>
            </w:pPr>
            <w:r>
              <w:rPr>
                <w:color w:val="0F172A"/>
                <w:sz w:val="18"/>
              </w:rPr>
              <w:t>Integer</w:t>
            </w:r>
          </w:p>
        </w:tc>
        <w:tc>
          <w:tcPr>
            <w:tcW w:type="dxa" w:w="1337"/>
            <w:shd w:fill="FFFFFF"/>
            <w:tcMar>
              <w:top w:w="100" w:type="dxa"/>
              <w:bottom w:w="100" w:type="dxa"/>
              <w:left w:w="120" w:type="dxa"/>
              <w:right w:w="120" w:type="dxa"/>
            </w:tcMar>
          </w:tcPr>
          <w:p>
            <w:pPr>
              <w:jc w:val="center"/>
            </w:pPr>
            <w:r>
              <w:rPr>
                <w:color w:val="0F172A"/>
                <w:sz w:val="18"/>
              </w:rPr>
              <w:t>Count</w:t>
            </w:r>
          </w:p>
        </w:tc>
        <w:tc>
          <w:tcPr>
            <w:tcW w:type="dxa" w:w="1337"/>
            <w:shd w:fill="FFFFFF"/>
            <w:tcMar>
              <w:top w:w="100" w:type="dxa"/>
              <w:bottom w:w="100" w:type="dxa"/>
              <w:left w:w="120" w:type="dxa"/>
              <w:right w:w="120" w:type="dxa"/>
            </w:tcMar>
          </w:tcPr>
          <w:p>
            <w:pPr>
              <w:jc w:val="left"/>
            </w:pPr>
            <w:r>
              <w:rPr>
                <w:color w:val="0F172A"/>
                <w:sz w:val="18"/>
              </w:rPr>
              <w:t>0 – 3 days</w:t>
            </w:r>
          </w:p>
        </w:tc>
        <w:tc>
          <w:tcPr>
            <w:tcW w:type="dxa" w:w="1337"/>
            <w:shd w:fill="FFFFFF"/>
            <w:tcMar>
              <w:top w:w="100" w:type="dxa"/>
              <w:bottom w:w="100" w:type="dxa"/>
              <w:left w:w="120" w:type="dxa"/>
              <w:right w:w="120" w:type="dxa"/>
            </w:tcMar>
          </w:tcPr>
          <w:p>
            <w:pPr>
              <w:jc w:val="left"/>
            </w:pPr>
            <w:r>
              <w:rPr>
                <w:color w:val="0F172A"/>
                <w:sz w:val="18"/>
              </w:rPr>
              <w:t>0 ≤ n ≤ 10</w:t>
            </w:r>
          </w:p>
        </w:tc>
        <w:tc>
          <w:tcPr>
            <w:tcW w:type="dxa" w:w="1337"/>
            <w:shd w:fill="FFFFFF"/>
            <w:tcMar>
              <w:top w:w="100" w:type="dxa"/>
              <w:bottom w:w="100" w:type="dxa"/>
              <w:left w:w="120" w:type="dxa"/>
              <w:right w:w="120" w:type="dxa"/>
            </w:tcMar>
          </w:tcPr>
          <w:p>
            <w:pPr>
              <w:jc w:val="left"/>
            </w:pPr>
            <w:r>
              <w:rPr>
                <w:color w:val="0F172A"/>
                <w:sz w:val="18"/>
              </w:rPr>
              <w:t>Total count of public holidays in the target month; proxies for high-generation domestic and festive periods.</w:t>
            </w:r>
          </w:p>
        </w:tc>
      </w:tr>
      <w:tr>
        <w:tc>
          <w:tcPr>
            <w:tcW w:type="dxa" w:w="1337"/>
            <w:shd w:fill="F8FAFC"/>
            <w:tcMar>
              <w:top w:w="100" w:type="dxa"/>
              <w:bottom w:w="100" w:type="dxa"/>
              <w:left w:w="120" w:type="dxa"/>
              <w:right w:w="120" w:type="dxa"/>
            </w:tcMar>
          </w:tcPr>
          <w:p>
            <w:pPr>
              <w:jc w:val="center"/>
            </w:pPr>
            <w:r>
              <w:rPr>
                <w:color w:val="0F172A"/>
                <w:sz w:val="18"/>
              </w:rPr>
              <w:t>8</w:t>
            </w:r>
          </w:p>
        </w:tc>
        <w:tc>
          <w:tcPr>
            <w:tcW w:type="dxa" w:w="1337"/>
            <w:shd w:fill="F8FAFC"/>
            <w:tcMar>
              <w:top w:w="100" w:type="dxa"/>
              <w:bottom w:w="100" w:type="dxa"/>
              <w:left w:w="120" w:type="dxa"/>
              <w:right w:w="120" w:type="dxa"/>
            </w:tcMar>
          </w:tcPr>
          <w:p>
            <w:pPr>
              <w:jc w:val="left"/>
            </w:pPr>
            <w:r>
              <w:rPr>
                <w:color w:val="0F172A"/>
                <w:sz w:val="18"/>
              </w:rPr>
              <w:t>waste_tonnes_estimated</w:t>
            </w:r>
          </w:p>
        </w:tc>
        <w:tc>
          <w:tcPr>
            <w:tcW w:type="dxa" w:w="1337"/>
            <w:shd w:fill="F8FAFC"/>
            <w:tcMar>
              <w:top w:w="100" w:type="dxa"/>
              <w:bottom w:w="100" w:type="dxa"/>
              <w:left w:w="120" w:type="dxa"/>
              <w:right w:w="120" w:type="dxa"/>
            </w:tcMar>
          </w:tcPr>
          <w:p>
            <w:pPr>
              <w:jc w:val="center"/>
            </w:pPr>
            <w:r>
              <w:rPr>
                <w:color w:val="0F172A"/>
                <w:sz w:val="18"/>
              </w:rPr>
              <w:t>Float</w:t>
            </w:r>
          </w:p>
        </w:tc>
        <w:tc>
          <w:tcPr>
            <w:tcW w:type="dxa" w:w="1337"/>
            <w:shd w:fill="F8FAFC"/>
            <w:tcMar>
              <w:top w:w="100" w:type="dxa"/>
              <w:bottom w:w="100" w:type="dxa"/>
              <w:left w:w="120" w:type="dxa"/>
              <w:right w:w="120" w:type="dxa"/>
            </w:tcMar>
          </w:tcPr>
          <w:p>
            <w:pPr>
              <w:jc w:val="center"/>
            </w:pPr>
            <w:r>
              <w:rPr>
                <w:color w:val="0F172A"/>
                <w:sz w:val="18"/>
              </w:rPr>
              <w:t>Metric Tonnes (t)</w:t>
            </w:r>
          </w:p>
        </w:tc>
        <w:tc>
          <w:tcPr>
            <w:tcW w:type="dxa" w:w="1337"/>
            <w:shd w:fill="F8FAFC"/>
            <w:tcMar>
              <w:top w:w="100" w:type="dxa"/>
              <w:bottom w:w="100" w:type="dxa"/>
              <w:left w:w="120" w:type="dxa"/>
              <w:right w:w="120" w:type="dxa"/>
            </w:tcMar>
          </w:tcPr>
          <w:p>
            <w:pPr>
              <w:jc w:val="left"/>
            </w:pPr>
            <w:r>
              <w:rPr>
                <w:color w:val="0F172A"/>
                <w:sz w:val="18"/>
              </w:rPr>
              <w:t>26,480 – 43,120 t</w:t>
            </w:r>
          </w:p>
        </w:tc>
        <w:tc>
          <w:tcPr>
            <w:tcW w:type="dxa" w:w="1337"/>
            <w:shd w:fill="F8FAFC"/>
            <w:tcMar>
              <w:top w:w="100" w:type="dxa"/>
              <w:bottom w:w="100" w:type="dxa"/>
              <w:left w:w="120" w:type="dxa"/>
              <w:right w:w="120" w:type="dxa"/>
            </w:tcMar>
          </w:tcPr>
          <w:p>
            <w:pPr>
              <w:jc w:val="left"/>
            </w:pPr>
            <w:r>
              <w:rPr>
                <w:color w:val="0F172A"/>
                <w:sz w:val="18"/>
              </w:rPr>
              <w:t>Wt &gt; 0.0</w:t>
            </w:r>
          </w:p>
        </w:tc>
        <w:tc>
          <w:tcPr>
            <w:tcW w:type="dxa" w:w="1337"/>
            <w:shd w:fill="F8FAFC"/>
            <w:tcMar>
              <w:top w:w="100" w:type="dxa"/>
              <w:bottom w:w="100" w:type="dxa"/>
              <w:left w:w="120" w:type="dxa"/>
              <w:right w:w="120" w:type="dxa"/>
            </w:tcMar>
          </w:tcPr>
          <w:p>
            <w:pPr>
              <w:jc w:val="left"/>
            </w:pPr>
            <w:r>
              <w:rPr>
                <w:color w:val="0F172A"/>
                <w:sz w:val="18"/>
              </w:rPr>
              <w:t>Recorded empirical municipal solid waste collected in Uyo Municipality (target variable y for training).</w:t>
            </w:r>
          </w:p>
        </w:tc>
      </w:tr>
    </w:tbl>
    <w:p>
      <w:pPr>
        <w:spacing w:after="160"/>
      </w:pPr>
    </w:p>
    <w:p>
      <w:pPr>
        <w:pStyle w:val="Heading3"/>
      </w:pPr>
      <w:r>
        <w:t>4.1.1.1 Input Preprocessing and Feature Engineering Transformations</w:t>
      </w:r>
    </w:p>
    <w:p>
      <w:r>
        <w:t>Before raw inputs are passed into the Gaussian Process covariance kernel, the system subjects them to mathematical transformations to maintain temporal causality, eliminate dimension scale bias, and encode cyclical seasonal periodicity:</w:t>
      </w:r>
    </w:p>
    <w:p>
      <w:pPr>
        <w:pStyle w:val="ListBullet"/>
      </w:pPr>
      <w:r>
        <w:rPr>
          <w:b/>
        </w:rPr>
        <w:t xml:space="preserve">Continuous Time-Step Encoding (t): </w:t>
      </w:r>
      <w:r>
        <w:t>To enable trend extrapolation, calendar months are mapped onto a continuous non-negative integer sequence relative to the baseline epoch (January 2019 = 0): t = (Year - 2019) * 12 + (Month - 1).</w:t>
      </w:r>
    </w:p>
    <w:p>
      <w:pPr>
        <w:pStyle w:val="ListBullet"/>
      </w:pPr>
      <w:r>
        <w:rPr>
          <w:b/>
        </w:rPr>
        <w:t xml:space="preserve">Cyclical Month Harmonic Encoding: </w:t>
      </w:r>
      <w:r>
        <w:t>Because January (m = 1) is temporally adjacent to December (m = 12), calendar periodicity is preserved through orthogonal trigonometric basis functions: sin_month = sin(2πm / 12) and cos_month = cos(2πm / 12).</w:t>
      </w:r>
    </w:p>
    <w:p>
      <w:pPr>
        <w:pStyle w:val="ListBullet"/>
      </w:pPr>
      <w:r>
        <w:rPr>
          <w:b/>
        </w:rPr>
        <w:t xml:space="preserve">Standardization Pipeline (z-score Scaling): </w:t>
      </w:r>
      <w:r>
        <w:t>Because feature dimensions possess vastly disparate scales (e.g., population ~ 5 x 10^5 versus temperature ~ 2.6 x 10^1), all features are normalized based on training set statistics: z = (x - μ) / σ to ensure numerical stability during kernel marginal log-likelihood optimization.</w:t>
      </w:r>
    </w:p>
    <w:p>
      <w:pPr>
        <w:spacing w:after="160"/>
      </w:pPr>
    </w:p>
    <w:p>
      <w:pPr>
        <w:pStyle w:val="Heading2"/>
      </w:pPr>
      <w:r>
        <w:t>4.1.2 Output Specification</w:t>
      </w:r>
    </w:p>
    <w:p>
      <w:r>
        <w:t>The output specification defines the mathematical format, numerical precision, operational semantics, and reporting artifacts generated by the Gaussian Process Regression model for AKSEPWMA administrators, environmental scientists, and municipal waste directors.</w:t>
      </w:r>
    </w:p>
    <w:p>
      <w:r>
        <w:t>Following expert research and municipal decision-support consultations, the system implements Option D (Dual Continuous-Categorical Paradigm). Unlike deterministic regression algorithms that generate only an isolated point estimate, the GPR model outputs a complete posterior Gaussian probability distribution for each target period: y* ~ N(μ*, σ*^2). Simultaneously, each continuous numerical forecast is discretized into an actionable 5-tier operational waste generation class based on empirical AKSEPWMA capacity thresholds. The system structures its outputs into five analytical layers:</w:t>
      </w:r>
    </w:p>
    <w:p>
      <w:pPr>
        <w:pStyle w:val="ListBullet"/>
      </w:pPr>
      <w:r>
        <w:rPr>
          <w:b/>
        </w:rPr>
        <w:t xml:space="preserve">Probabilistic Point and Interval Forecasts: </w:t>
      </w:r>
      <w:r>
        <w:t>Delivers the expected predictive mean monthly waste tonnage (μ*), average daily equivalent tonnage, and strict 95% Bayesian Confidence Intervals: [μ* - 1.96σ*, μ* + 1.96σ*], communicating both the expected central trajectory and mathematical uncertainty bounds.</w:t>
      </w:r>
    </w:p>
    <w:p>
      <w:pPr>
        <w:pStyle w:val="ListBullet"/>
      </w:pPr>
      <w:r>
        <w:rPr>
          <w:b/>
        </w:rPr>
        <w:t xml:space="preserve">Empirical 5-Tier Operational Waste Classification (Option D): </w:t>
      </w:r>
      <w:r>
        <w:t>Discretizes continuous tonnage projections into five operational management classes: Very Low (&lt; 30,000 tonnes/month), Low (30,000 – 35,000 tonnes/month), Moderate (35,000 – 40,000 tonnes/month), High (40,000 – 45,000 tonnes/month), and Very High (≥ 45,000 tonnes/month).</w:t>
      </w:r>
    </w:p>
    <w:p>
      <w:pPr>
        <w:pStyle w:val="ListBullet"/>
      </w:pPr>
      <w:r>
        <w:rPr>
          <w:b/>
        </w:rPr>
        <w:t xml:space="preserve">Municipal Logistics and Fleet Sizing Directives: </w:t>
      </w:r>
      <w:r>
        <w:t>Translates projected tonnage directly into required logistical assets, including: active 15-tonne compactor trucks required (N_trucks = ceil(Daily_Tonnes / 30)), 1,100-litre communal collection bins (N_bins = ceil(Daily_Tonnes * 1.2 / 0.25)), and annual landfill airspace depletion rate in cubic meters (V_landfill = Annual_Tonnes / 0.8).</w:t>
      </w:r>
    </w:p>
    <w:p>
      <w:pPr>
        <w:pStyle w:val="ListBullet"/>
      </w:pPr>
      <w:r>
        <w:rPr>
          <w:b/>
        </w:rPr>
        <w:t xml:space="preserve">Spatial Zonal Allocation (GIS Distribution): </w:t>
      </w:r>
      <w:r>
        <w:t>Apportions municipal waste forecasts across Uyo's six designated collection hubs: Ibom Plaza/Central Business District (22%), Itam Market &amp; Industrial Commercial Axis (26%), Aka Road/Shelter Afrique Residential Corridor (16%), Abak Road Commercial Corridor (13%), Oron Road Corridor (12%), and Ikpa Road/Uniuyo Campus Corridor (11%).</w:t>
      </w:r>
    </w:p>
    <w:p>
      <w:pPr>
        <w:pStyle w:val="ListBullet"/>
      </w:pPr>
      <w:r>
        <w:rPr>
          <w:b/>
        </w:rPr>
        <w:t xml:space="preserve">Standardized Option D Final Forecast Presentation Card: </w:t>
      </w:r>
      <w:r>
        <w:t>Provides an executive dashboard summary specifying: Forecast Period, Predicted Waste Generation (monthly and daily equivalent), Assigned Waste Generation Class, Forecast Trend, 95% Bayesian Prediction Interval, Model Architecture, and Actionable Municipal Recommendation.</w:t>
      </w:r>
    </w:p>
    <w:p>
      <w:pPr>
        <w:spacing w:after="80"/>
      </w:pPr>
      <w:r>
        <w:rPr>
          <w:b/>
        </w:rPr>
        <w:t>Table 4.2: Output Data Schema for 2026–2030 Projections (Option D Format)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172A"/>
            <w:tcMar>
              <w:top w:w="140" w:type="dxa"/>
              <w:bottom w:w="140" w:type="dxa"/>
              <w:left w:w="140" w:type="dxa"/>
              <w:right w:w="140" w:type="dxa"/>
            </w:tcMar>
          </w:tcPr>
          <w:p>
            <w:pPr>
              <w:jc w:val="center"/>
            </w:pPr>
            <w:r>
              <w:rPr>
                <w:b/>
                <w:color w:val="FFFFFF"/>
                <w:sz w:val="19"/>
              </w:rPr>
              <w:t>Output Field Name</w:t>
            </w:r>
          </w:p>
        </w:tc>
        <w:tc>
          <w:tcPr>
            <w:tcW w:type="dxa" w:w="1872"/>
            <w:shd w:fill="0F172A"/>
            <w:tcMar>
              <w:top w:w="140" w:type="dxa"/>
              <w:bottom w:w="140" w:type="dxa"/>
              <w:left w:w="140" w:type="dxa"/>
              <w:right w:w="140" w:type="dxa"/>
            </w:tcMar>
          </w:tcPr>
          <w:p>
            <w:pPr>
              <w:jc w:val="center"/>
            </w:pPr>
            <w:r>
              <w:rPr>
                <w:b/>
                <w:color w:val="FFFFFF"/>
                <w:sz w:val="19"/>
              </w:rPr>
              <w:t>Data Type</w:t>
            </w:r>
          </w:p>
        </w:tc>
        <w:tc>
          <w:tcPr>
            <w:tcW w:type="dxa" w:w="1872"/>
            <w:shd w:fill="0F172A"/>
            <w:tcMar>
              <w:top w:w="140" w:type="dxa"/>
              <w:bottom w:w="140" w:type="dxa"/>
              <w:left w:w="140" w:type="dxa"/>
              <w:right w:w="140" w:type="dxa"/>
            </w:tcMar>
          </w:tcPr>
          <w:p>
            <w:pPr>
              <w:jc w:val="center"/>
            </w:pPr>
            <w:r>
              <w:rPr>
                <w:b/>
                <w:color w:val="FFFFFF"/>
                <w:sz w:val="19"/>
              </w:rPr>
              <w:t>Display Format</w:t>
            </w:r>
          </w:p>
        </w:tc>
        <w:tc>
          <w:tcPr>
            <w:tcW w:type="dxa" w:w="1872"/>
            <w:shd w:fill="0F172A"/>
            <w:tcMar>
              <w:top w:w="140" w:type="dxa"/>
              <w:bottom w:w="140" w:type="dxa"/>
              <w:left w:w="140" w:type="dxa"/>
              <w:right w:w="140" w:type="dxa"/>
            </w:tcMar>
          </w:tcPr>
          <w:p>
            <w:pPr>
              <w:jc w:val="center"/>
            </w:pPr>
            <w:r>
              <w:rPr>
                <w:b/>
                <w:color w:val="FFFFFF"/>
                <w:sz w:val="19"/>
              </w:rPr>
              <w:t>Measurement Unit</w:t>
            </w:r>
          </w:p>
        </w:tc>
        <w:tc>
          <w:tcPr>
            <w:tcW w:type="dxa" w:w="1872"/>
            <w:shd w:fill="0F172A"/>
            <w:tcMar>
              <w:top w:w="140" w:type="dxa"/>
              <w:bottom w:w="140" w:type="dxa"/>
              <w:left w:w="140" w:type="dxa"/>
              <w:right w:w="140" w:type="dxa"/>
            </w:tcMar>
          </w:tcPr>
          <w:p>
            <w:pPr>
              <w:jc w:val="center"/>
            </w:pPr>
            <w:r>
              <w:rPr>
                <w:b/>
                <w:color w:val="FFFFFF"/>
                <w:sz w:val="19"/>
              </w:rPr>
              <w:t>Description &amp; Operational Interpretation</w:t>
            </w:r>
          </w:p>
        </w:tc>
      </w:tr>
      <w:tr>
        <w:tc>
          <w:tcPr>
            <w:tcW w:type="dxa" w:w="1872"/>
            <w:shd w:fill="FFFFFF"/>
            <w:tcMar>
              <w:top w:w="100" w:type="dxa"/>
              <w:bottom w:w="100" w:type="dxa"/>
              <w:left w:w="120" w:type="dxa"/>
              <w:right w:w="120" w:type="dxa"/>
            </w:tcMar>
          </w:tcPr>
          <w:p>
            <w:pPr>
              <w:jc w:val="center"/>
            </w:pPr>
            <w:r>
              <w:rPr>
                <w:color w:val="0F172A"/>
                <w:sz w:val="18"/>
              </w:rPr>
              <w:t>forecast_date</w:t>
            </w:r>
          </w:p>
        </w:tc>
        <w:tc>
          <w:tcPr>
            <w:tcW w:type="dxa" w:w="1872"/>
            <w:shd w:fill="FFFFFF"/>
            <w:tcMar>
              <w:top w:w="100" w:type="dxa"/>
              <w:bottom w:w="100" w:type="dxa"/>
              <w:left w:w="120" w:type="dxa"/>
              <w:right w:w="120" w:type="dxa"/>
            </w:tcMar>
          </w:tcPr>
          <w:p>
            <w:pPr>
              <w:jc w:val="center"/>
            </w:pPr>
            <w:r>
              <w:rPr>
                <w:color w:val="0F172A"/>
                <w:sz w:val="18"/>
              </w:rPr>
              <w:t>String</w:t>
            </w:r>
          </w:p>
        </w:tc>
        <w:tc>
          <w:tcPr>
            <w:tcW w:type="dxa" w:w="1872"/>
            <w:shd w:fill="FFFFFF"/>
            <w:tcMar>
              <w:top w:w="100" w:type="dxa"/>
              <w:bottom w:w="100" w:type="dxa"/>
              <w:left w:w="120" w:type="dxa"/>
              <w:right w:w="120" w:type="dxa"/>
            </w:tcMar>
          </w:tcPr>
          <w:p>
            <w:pPr>
              <w:jc w:val="left"/>
            </w:pPr>
            <w:r>
              <w:rPr>
                <w:color w:val="0F172A"/>
                <w:sz w:val="18"/>
              </w:rPr>
              <w:t>Month YYYY</w:t>
            </w:r>
          </w:p>
        </w:tc>
        <w:tc>
          <w:tcPr>
            <w:tcW w:type="dxa" w:w="1872"/>
            <w:shd w:fill="FFFFFF"/>
            <w:tcMar>
              <w:top w:w="100" w:type="dxa"/>
              <w:bottom w:w="100" w:type="dxa"/>
              <w:left w:w="120" w:type="dxa"/>
              <w:right w:w="120" w:type="dxa"/>
            </w:tcMar>
          </w:tcPr>
          <w:p>
            <w:pPr>
              <w:jc w:val="center"/>
            </w:pPr>
            <w:r>
              <w:rPr>
                <w:color w:val="0F172A"/>
                <w:sz w:val="18"/>
              </w:rPr>
              <w:t>Calendar Date</w:t>
            </w:r>
          </w:p>
        </w:tc>
        <w:tc>
          <w:tcPr>
            <w:tcW w:type="dxa" w:w="1872"/>
            <w:shd w:fill="FFFFFF"/>
            <w:tcMar>
              <w:top w:w="100" w:type="dxa"/>
              <w:bottom w:w="100" w:type="dxa"/>
              <w:left w:w="120" w:type="dxa"/>
              <w:right w:w="120" w:type="dxa"/>
            </w:tcMar>
          </w:tcPr>
          <w:p>
            <w:pPr>
              <w:jc w:val="left"/>
            </w:pPr>
            <w:r>
              <w:rPr>
                <w:color w:val="0F172A"/>
                <w:sz w:val="18"/>
              </w:rPr>
              <w:t>Target forecast timeline (e.g., January 2026 through December 2030).</w:t>
            </w:r>
          </w:p>
        </w:tc>
      </w:tr>
      <w:tr>
        <w:tc>
          <w:tcPr>
            <w:tcW w:type="dxa" w:w="1872"/>
            <w:shd w:fill="F8FAFC"/>
            <w:tcMar>
              <w:top w:w="100" w:type="dxa"/>
              <w:bottom w:w="100" w:type="dxa"/>
              <w:left w:w="120" w:type="dxa"/>
              <w:right w:w="120" w:type="dxa"/>
            </w:tcMar>
          </w:tcPr>
          <w:p>
            <w:pPr>
              <w:jc w:val="center"/>
            </w:pPr>
            <w:r>
              <w:rPr>
                <w:color w:val="0F172A"/>
                <w:sz w:val="18"/>
              </w:rPr>
              <w:t>pred_monthly_tonnes</w:t>
            </w:r>
          </w:p>
        </w:tc>
        <w:tc>
          <w:tcPr>
            <w:tcW w:type="dxa" w:w="1872"/>
            <w:shd w:fill="F8FAFC"/>
            <w:tcMar>
              <w:top w:w="100" w:type="dxa"/>
              <w:bottom w:w="100" w:type="dxa"/>
              <w:left w:w="120" w:type="dxa"/>
              <w:right w:w="120" w:type="dxa"/>
            </w:tcMar>
          </w:tcPr>
          <w:p>
            <w:pPr>
              <w:jc w:val="center"/>
            </w:pPr>
            <w:r>
              <w:rPr>
                <w:color w:val="0F172A"/>
                <w:sz w:val="18"/>
              </w:rPr>
              <w:t>Float</w:t>
            </w:r>
          </w:p>
        </w:tc>
        <w:tc>
          <w:tcPr>
            <w:tcW w:type="dxa" w:w="1872"/>
            <w:shd w:fill="F8FAFC"/>
            <w:tcMar>
              <w:top w:w="100" w:type="dxa"/>
              <w:bottom w:w="100" w:type="dxa"/>
              <w:left w:w="120" w:type="dxa"/>
              <w:right w:w="120" w:type="dxa"/>
            </w:tcMar>
          </w:tcPr>
          <w:p>
            <w:pPr>
              <w:jc w:val="left"/>
            </w:pPr>
            <w:r>
              <w:rPr>
                <w:color w:val="0F172A"/>
                <w:sz w:val="18"/>
              </w:rPr>
              <w:t>44,724.2</w:t>
            </w:r>
          </w:p>
        </w:tc>
        <w:tc>
          <w:tcPr>
            <w:tcW w:type="dxa" w:w="1872"/>
            <w:shd w:fill="F8FAFC"/>
            <w:tcMar>
              <w:top w:w="100" w:type="dxa"/>
              <w:bottom w:w="100" w:type="dxa"/>
              <w:left w:w="120" w:type="dxa"/>
              <w:right w:w="120" w:type="dxa"/>
            </w:tcMar>
          </w:tcPr>
          <w:p>
            <w:pPr>
              <w:jc w:val="center"/>
            </w:pPr>
            <w:r>
              <w:rPr>
                <w:color w:val="0F172A"/>
                <w:sz w:val="18"/>
              </w:rPr>
              <w:t>Tonnes/Month</w:t>
            </w:r>
          </w:p>
        </w:tc>
        <w:tc>
          <w:tcPr>
            <w:tcW w:type="dxa" w:w="1872"/>
            <w:shd w:fill="F8FAFC"/>
            <w:tcMar>
              <w:top w:w="100" w:type="dxa"/>
              <w:bottom w:w="100" w:type="dxa"/>
              <w:left w:w="120" w:type="dxa"/>
              <w:right w:w="120" w:type="dxa"/>
            </w:tcMar>
          </w:tcPr>
          <w:p>
            <w:pPr>
              <w:jc w:val="left"/>
            </w:pPr>
            <w:r>
              <w:rPr>
                <w:color w:val="0F172A"/>
                <w:sz w:val="18"/>
              </w:rPr>
              <w:t>GPR posterior predictive mean monthly solid waste generation (μ*).</w:t>
            </w:r>
          </w:p>
        </w:tc>
      </w:tr>
      <w:tr>
        <w:tc>
          <w:tcPr>
            <w:tcW w:type="dxa" w:w="1872"/>
            <w:shd w:fill="FFFFFF"/>
            <w:tcMar>
              <w:top w:w="100" w:type="dxa"/>
              <w:bottom w:w="100" w:type="dxa"/>
              <w:left w:w="120" w:type="dxa"/>
              <w:right w:w="120" w:type="dxa"/>
            </w:tcMar>
          </w:tcPr>
          <w:p>
            <w:pPr>
              <w:jc w:val="center"/>
            </w:pPr>
            <w:r>
              <w:rPr>
                <w:color w:val="0F172A"/>
                <w:sz w:val="18"/>
              </w:rPr>
              <w:t>daily_tonnes</w:t>
            </w:r>
          </w:p>
        </w:tc>
        <w:tc>
          <w:tcPr>
            <w:tcW w:type="dxa" w:w="1872"/>
            <w:shd w:fill="FFFFFF"/>
            <w:tcMar>
              <w:top w:w="100" w:type="dxa"/>
              <w:bottom w:w="100" w:type="dxa"/>
              <w:left w:w="120" w:type="dxa"/>
              <w:right w:w="120" w:type="dxa"/>
            </w:tcMar>
          </w:tcPr>
          <w:p>
            <w:pPr>
              <w:jc w:val="center"/>
            </w:pPr>
            <w:r>
              <w:rPr>
                <w:color w:val="0F172A"/>
                <w:sz w:val="18"/>
              </w:rPr>
              <w:t>Float</w:t>
            </w:r>
          </w:p>
        </w:tc>
        <w:tc>
          <w:tcPr>
            <w:tcW w:type="dxa" w:w="1872"/>
            <w:shd w:fill="FFFFFF"/>
            <w:tcMar>
              <w:top w:w="100" w:type="dxa"/>
              <w:bottom w:w="100" w:type="dxa"/>
              <w:left w:w="120" w:type="dxa"/>
              <w:right w:w="120" w:type="dxa"/>
            </w:tcMar>
          </w:tcPr>
          <w:p>
            <w:pPr>
              <w:jc w:val="left"/>
            </w:pPr>
            <w:r>
              <w:rPr>
                <w:color w:val="0F172A"/>
                <w:sz w:val="18"/>
              </w:rPr>
              <w:t>1,470.4</w:t>
            </w:r>
          </w:p>
        </w:tc>
        <w:tc>
          <w:tcPr>
            <w:tcW w:type="dxa" w:w="1872"/>
            <w:shd w:fill="FFFFFF"/>
            <w:tcMar>
              <w:top w:w="100" w:type="dxa"/>
              <w:bottom w:w="100" w:type="dxa"/>
              <w:left w:w="120" w:type="dxa"/>
              <w:right w:w="120" w:type="dxa"/>
            </w:tcMar>
          </w:tcPr>
          <w:p>
            <w:pPr>
              <w:jc w:val="center"/>
            </w:pPr>
            <w:r>
              <w:rPr>
                <w:color w:val="0F172A"/>
                <w:sz w:val="18"/>
              </w:rPr>
              <w:t>Tonnes/Day</w:t>
            </w:r>
          </w:p>
        </w:tc>
        <w:tc>
          <w:tcPr>
            <w:tcW w:type="dxa" w:w="1872"/>
            <w:shd w:fill="FFFFFF"/>
            <w:tcMar>
              <w:top w:w="100" w:type="dxa"/>
              <w:bottom w:w="100" w:type="dxa"/>
              <w:left w:w="120" w:type="dxa"/>
              <w:right w:w="120" w:type="dxa"/>
            </w:tcMar>
          </w:tcPr>
          <w:p>
            <w:pPr>
              <w:jc w:val="left"/>
            </w:pPr>
            <w:r>
              <w:rPr>
                <w:color w:val="0F172A"/>
                <w:sz w:val="18"/>
              </w:rPr>
              <w:t>Average daily solid waste generation equivalent (μ* / 30.4167).</w:t>
            </w:r>
          </w:p>
        </w:tc>
      </w:tr>
      <w:tr>
        <w:tc>
          <w:tcPr>
            <w:tcW w:type="dxa" w:w="1872"/>
            <w:shd w:fill="F8FAFC"/>
            <w:tcMar>
              <w:top w:w="100" w:type="dxa"/>
              <w:bottom w:w="100" w:type="dxa"/>
              <w:left w:w="120" w:type="dxa"/>
              <w:right w:w="120" w:type="dxa"/>
            </w:tcMar>
          </w:tcPr>
          <w:p>
            <w:pPr>
              <w:jc w:val="center"/>
            </w:pPr>
            <w:r>
              <w:rPr>
                <w:color w:val="0F172A"/>
                <w:sz w:val="18"/>
              </w:rPr>
              <w:t>ci_low_tonnes</w:t>
            </w:r>
          </w:p>
        </w:tc>
        <w:tc>
          <w:tcPr>
            <w:tcW w:type="dxa" w:w="1872"/>
            <w:shd w:fill="F8FAFC"/>
            <w:tcMar>
              <w:top w:w="100" w:type="dxa"/>
              <w:bottom w:w="100" w:type="dxa"/>
              <w:left w:w="120" w:type="dxa"/>
              <w:right w:w="120" w:type="dxa"/>
            </w:tcMar>
          </w:tcPr>
          <w:p>
            <w:pPr>
              <w:jc w:val="center"/>
            </w:pPr>
            <w:r>
              <w:rPr>
                <w:color w:val="0F172A"/>
                <w:sz w:val="18"/>
              </w:rPr>
              <w:t>Float</w:t>
            </w:r>
          </w:p>
        </w:tc>
        <w:tc>
          <w:tcPr>
            <w:tcW w:type="dxa" w:w="1872"/>
            <w:shd w:fill="F8FAFC"/>
            <w:tcMar>
              <w:top w:w="100" w:type="dxa"/>
              <w:bottom w:w="100" w:type="dxa"/>
              <w:left w:w="120" w:type="dxa"/>
              <w:right w:w="120" w:type="dxa"/>
            </w:tcMar>
          </w:tcPr>
          <w:p>
            <w:pPr>
              <w:jc w:val="left"/>
            </w:pPr>
            <w:r>
              <w:rPr>
                <w:color w:val="0F172A"/>
                <w:sz w:val="18"/>
              </w:rPr>
              <w:t>40,179.0</w:t>
            </w:r>
          </w:p>
        </w:tc>
        <w:tc>
          <w:tcPr>
            <w:tcW w:type="dxa" w:w="1872"/>
            <w:shd w:fill="F8FAFC"/>
            <w:tcMar>
              <w:top w:w="100" w:type="dxa"/>
              <w:bottom w:w="100" w:type="dxa"/>
              <w:left w:w="120" w:type="dxa"/>
              <w:right w:w="120" w:type="dxa"/>
            </w:tcMar>
          </w:tcPr>
          <w:p>
            <w:pPr>
              <w:jc w:val="center"/>
            </w:pPr>
            <w:r>
              <w:rPr>
                <w:color w:val="0F172A"/>
                <w:sz w:val="18"/>
              </w:rPr>
              <w:t>Metric Tonnes</w:t>
            </w:r>
          </w:p>
        </w:tc>
        <w:tc>
          <w:tcPr>
            <w:tcW w:type="dxa" w:w="1872"/>
            <w:shd w:fill="F8FAFC"/>
            <w:tcMar>
              <w:top w:w="100" w:type="dxa"/>
              <w:bottom w:w="100" w:type="dxa"/>
              <w:left w:w="120" w:type="dxa"/>
              <w:right w:w="120" w:type="dxa"/>
            </w:tcMar>
          </w:tcPr>
          <w:p>
            <w:pPr>
              <w:jc w:val="left"/>
            </w:pPr>
            <w:r>
              <w:rPr>
                <w:color w:val="0F172A"/>
                <w:sz w:val="18"/>
              </w:rPr>
              <w:t>Lower 95% Bayesian predictive confidence limit (μ* - 1.96σ*).</w:t>
            </w:r>
          </w:p>
        </w:tc>
      </w:tr>
      <w:tr>
        <w:tc>
          <w:tcPr>
            <w:tcW w:type="dxa" w:w="1872"/>
            <w:shd w:fill="FFFFFF"/>
            <w:tcMar>
              <w:top w:w="100" w:type="dxa"/>
              <w:bottom w:w="100" w:type="dxa"/>
              <w:left w:w="120" w:type="dxa"/>
              <w:right w:w="120" w:type="dxa"/>
            </w:tcMar>
          </w:tcPr>
          <w:p>
            <w:pPr>
              <w:jc w:val="center"/>
            </w:pPr>
            <w:r>
              <w:rPr>
                <w:color w:val="0F172A"/>
                <w:sz w:val="18"/>
              </w:rPr>
              <w:t>ci_high_tonnes</w:t>
            </w:r>
          </w:p>
        </w:tc>
        <w:tc>
          <w:tcPr>
            <w:tcW w:type="dxa" w:w="1872"/>
            <w:shd w:fill="FFFFFF"/>
            <w:tcMar>
              <w:top w:w="100" w:type="dxa"/>
              <w:bottom w:w="100" w:type="dxa"/>
              <w:left w:w="120" w:type="dxa"/>
              <w:right w:w="120" w:type="dxa"/>
            </w:tcMar>
          </w:tcPr>
          <w:p>
            <w:pPr>
              <w:jc w:val="center"/>
            </w:pPr>
            <w:r>
              <w:rPr>
                <w:color w:val="0F172A"/>
                <w:sz w:val="18"/>
              </w:rPr>
              <w:t>Float</w:t>
            </w:r>
          </w:p>
        </w:tc>
        <w:tc>
          <w:tcPr>
            <w:tcW w:type="dxa" w:w="1872"/>
            <w:shd w:fill="FFFFFF"/>
            <w:tcMar>
              <w:top w:w="100" w:type="dxa"/>
              <w:bottom w:w="100" w:type="dxa"/>
              <w:left w:w="120" w:type="dxa"/>
              <w:right w:w="120" w:type="dxa"/>
            </w:tcMar>
          </w:tcPr>
          <w:p>
            <w:pPr>
              <w:jc w:val="left"/>
            </w:pPr>
            <w:r>
              <w:rPr>
                <w:color w:val="0F172A"/>
                <w:sz w:val="18"/>
              </w:rPr>
              <w:t>49,269.4</w:t>
            </w:r>
          </w:p>
        </w:tc>
        <w:tc>
          <w:tcPr>
            <w:tcW w:type="dxa" w:w="1872"/>
            <w:shd w:fill="FFFFFF"/>
            <w:tcMar>
              <w:top w:w="100" w:type="dxa"/>
              <w:bottom w:w="100" w:type="dxa"/>
              <w:left w:w="120" w:type="dxa"/>
              <w:right w:w="120" w:type="dxa"/>
            </w:tcMar>
          </w:tcPr>
          <w:p>
            <w:pPr>
              <w:jc w:val="center"/>
            </w:pPr>
            <w:r>
              <w:rPr>
                <w:color w:val="0F172A"/>
                <w:sz w:val="18"/>
              </w:rPr>
              <w:t>Metric Tonnes</w:t>
            </w:r>
          </w:p>
        </w:tc>
        <w:tc>
          <w:tcPr>
            <w:tcW w:type="dxa" w:w="1872"/>
            <w:shd w:fill="FFFFFF"/>
            <w:tcMar>
              <w:top w:w="100" w:type="dxa"/>
              <w:bottom w:w="100" w:type="dxa"/>
              <w:left w:w="120" w:type="dxa"/>
              <w:right w:w="120" w:type="dxa"/>
            </w:tcMar>
          </w:tcPr>
          <w:p>
            <w:pPr>
              <w:jc w:val="left"/>
            </w:pPr>
            <w:r>
              <w:rPr>
                <w:color w:val="0F172A"/>
                <w:sz w:val="18"/>
              </w:rPr>
              <w:t>Upper 95% Bayesian predictive confidence limit (μ* + 1.96σ*).</w:t>
            </w:r>
          </w:p>
        </w:tc>
      </w:tr>
      <w:tr>
        <w:tc>
          <w:tcPr>
            <w:tcW w:type="dxa" w:w="1872"/>
            <w:shd w:fill="F8FAFC"/>
            <w:tcMar>
              <w:top w:w="100" w:type="dxa"/>
              <w:bottom w:w="100" w:type="dxa"/>
              <w:left w:w="120" w:type="dxa"/>
              <w:right w:w="120" w:type="dxa"/>
            </w:tcMar>
          </w:tcPr>
          <w:p>
            <w:pPr>
              <w:jc w:val="center"/>
            </w:pPr>
            <w:r>
              <w:rPr>
                <w:color w:val="0F172A"/>
                <w:sz w:val="18"/>
              </w:rPr>
              <w:t>uncertainty_width</w:t>
            </w:r>
          </w:p>
        </w:tc>
        <w:tc>
          <w:tcPr>
            <w:tcW w:type="dxa" w:w="1872"/>
            <w:shd w:fill="F8FAFC"/>
            <w:tcMar>
              <w:top w:w="100" w:type="dxa"/>
              <w:bottom w:w="100" w:type="dxa"/>
              <w:left w:w="120" w:type="dxa"/>
              <w:right w:w="120" w:type="dxa"/>
            </w:tcMar>
          </w:tcPr>
          <w:p>
            <w:pPr>
              <w:jc w:val="center"/>
            </w:pPr>
            <w:r>
              <w:rPr>
                <w:color w:val="0F172A"/>
                <w:sz w:val="18"/>
              </w:rPr>
              <w:t>Float</w:t>
            </w:r>
          </w:p>
        </w:tc>
        <w:tc>
          <w:tcPr>
            <w:tcW w:type="dxa" w:w="1872"/>
            <w:shd w:fill="F8FAFC"/>
            <w:tcMar>
              <w:top w:w="100" w:type="dxa"/>
              <w:bottom w:w="100" w:type="dxa"/>
              <w:left w:w="120" w:type="dxa"/>
              <w:right w:w="120" w:type="dxa"/>
            </w:tcMar>
          </w:tcPr>
          <w:p>
            <w:pPr>
              <w:jc w:val="left"/>
            </w:pPr>
            <w:r>
              <w:rPr>
                <w:color w:val="0F172A"/>
                <w:sz w:val="18"/>
              </w:rPr>
              <w:t>±4,545.2</w:t>
            </w:r>
          </w:p>
        </w:tc>
        <w:tc>
          <w:tcPr>
            <w:tcW w:type="dxa" w:w="1872"/>
            <w:shd w:fill="F8FAFC"/>
            <w:tcMar>
              <w:top w:w="100" w:type="dxa"/>
              <w:bottom w:w="100" w:type="dxa"/>
              <w:left w:w="120" w:type="dxa"/>
              <w:right w:w="120" w:type="dxa"/>
            </w:tcMar>
          </w:tcPr>
          <w:p>
            <w:pPr>
              <w:jc w:val="center"/>
            </w:pPr>
            <w:r>
              <w:rPr>
                <w:color w:val="0F172A"/>
                <w:sz w:val="18"/>
              </w:rPr>
              <w:t>Metric Tonnes</w:t>
            </w:r>
          </w:p>
        </w:tc>
        <w:tc>
          <w:tcPr>
            <w:tcW w:type="dxa" w:w="1872"/>
            <w:shd w:fill="F8FAFC"/>
            <w:tcMar>
              <w:top w:w="100" w:type="dxa"/>
              <w:bottom w:w="100" w:type="dxa"/>
              <w:left w:w="120" w:type="dxa"/>
              <w:right w:w="120" w:type="dxa"/>
            </w:tcMar>
          </w:tcPr>
          <w:p>
            <w:pPr>
              <w:jc w:val="left"/>
            </w:pPr>
            <w:r>
              <w:rPr>
                <w:color w:val="0F172A"/>
                <w:sz w:val="18"/>
              </w:rPr>
              <w:t>Full width of the 95% predictive uncertainty spread (3.92σ*).</w:t>
            </w:r>
          </w:p>
        </w:tc>
      </w:tr>
      <w:tr>
        <w:tc>
          <w:tcPr>
            <w:tcW w:type="dxa" w:w="1872"/>
            <w:shd w:fill="FFFFFF"/>
            <w:tcMar>
              <w:top w:w="100" w:type="dxa"/>
              <w:bottom w:w="100" w:type="dxa"/>
              <w:left w:w="120" w:type="dxa"/>
              <w:right w:w="120" w:type="dxa"/>
            </w:tcMar>
          </w:tcPr>
          <w:p>
            <w:pPr>
              <w:jc w:val="center"/>
            </w:pPr>
            <w:r>
              <w:rPr>
                <w:color w:val="0F172A"/>
                <w:sz w:val="18"/>
              </w:rPr>
              <w:t>waste_class</w:t>
            </w:r>
          </w:p>
        </w:tc>
        <w:tc>
          <w:tcPr>
            <w:tcW w:type="dxa" w:w="1872"/>
            <w:shd w:fill="FFFFFF"/>
            <w:tcMar>
              <w:top w:w="100" w:type="dxa"/>
              <w:bottom w:w="100" w:type="dxa"/>
              <w:left w:w="120" w:type="dxa"/>
              <w:right w:w="120" w:type="dxa"/>
            </w:tcMar>
          </w:tcPr>
          <w:p>
            <w:pPr>
              <w:jc w:val="center"/>
            </w:pPr>
            <w:r>
              <w:rPr>
                <w:color w:val="0F172A"/>
                <w:sz w:val="18"/>
              </w:rPr>
              <w:t>String</w:t>
            </w:r>
          </w:p>
        </w:tc>
        <w:tc>
          <w:tcPr>
            <w:tcW w:type="dxa" w:w="1872"/>
            <w:shd w:fill="FFFFFF"/>
            <w:tcMar>
              <w:top w:w="100" w:type="dxa"/>
              <w:bottom w:w="100" w:type="dxa"/>
              <w:left w:w="120" w:type="dxa"/>
              <w:right w:w="120" w:type="dxa"/>
            </w:tcMar>
          </w:tcPr>
          <w:p>
            <w:pPr>
              <w:jc w:val="left"/>
            </w:pPr>
            <w:r>
              <w:rPr>
                <w:color w:val="0F172A"/>
                <w:sz w:val="18"/>
              </w:rPr>
              <w:t>Categorical Badge</w:t>
            </w:r>
          </w:p>
        </w:tc>
        <w:tc>
          <w:tcPr>
            <w:tcW w:type="dxa" w:w="1872"/>
            <w:shd w:fill="FFFFFF"/>
            <w:tcMar>
              <w:top w:w="100" w:type="dxa"/>
              <w:bottom w:w="100" w:type="dxa"/>
              <w:left w:w="120" w:type="dxa"/>
              <w:right w:w="120" w:type="dxa"/>
            </w:tcMar>
          </w:tcPr>
          <w:p>
            <w:pPr>
              <w:jc w:val="center"/>
            </w:pPr>
            <w:r>
              <w:rPr>
                <w:color w:val="0F172A"/>
                <w:sz w:val="18"/>
              </w:rPr>
              <w:t>5-Tier Class</w:t>
            </w:r>
          </w:p>
        </w:tc>
        <w:tc>
          <w:tcPr>
            <w:tcW w:type="dxa" w:w="1872"/>
            <w:shd w:fill="FFFFFF"/>
            <w:tcMar>
              <w:top w:w="100" w:type="dxa"/>
              <w:bottom w:w="100" w:type="dxa"/>
              <w:left w:w="120" w:type="dxa"/>
              <w:right w:w="120" w:type="dxa"/>
            </w:tcMar>
          </w:tcPr>
          <w:p>
            <w:pPr>
              <w:jc w:val="left"/>
            </w:pPr>
            <w:r>
              <w:rPr>
                <w:color w:val="0F172A"/>
                <w:sz w:val="18"/>
              </w:rPr>
              <w:t>Operational waste generation class: Very Low, Low, Moderate, High, Very High.</w:t>
            </w:r>
          </w:p>
        </w:tc>
      </w:tr>
      <w:tr>
        <w:tc>
          <w:tcPr>
            <w:tcW w:type="dxa" w:w="1872"/>
            <w:shd w:fill="F8FAFC"/>
            <w:tcMar>
              <w:top w:w="100" w:type="dxa"/>
              <w:bottom w:w="100" w:type="dxa"/>
              <w:left w:w="120" w:type="dxa"/>
              <w:right w:w="120" w:type="dxa"/>
            </w:tcMar>
          </w:tcPr>
          <w:p>
            <w:pPr>
              <w:jc w:val="center"/>
            </w:pPr>
            <w:r>
              <w:rPr>
                <w:color w:val="0F172A"/>
                <w:sz w:val="18"/>
              </w:rPr>
              <w:t>compactor_trucks</w:t>
            </w:r>
          </w:p>
        </w:tc>
        <w:tc>
          <w:tcPr>
            <w:tcW w:type="dxa" w:w="1872"/>
            <w:shd w:fill="F8FAFC"/>
            <w:tcMar>
              <w:top w:w="100" w:type="dxa"/>
              <w:bottom w:w="100" w:type="dxa"/>
              <w:left w:w="120" w:type="dxa"/>
              <w:right w:w="120" w:type="dxa"/>
            </w:tcMar>
          </w:tcPr>
          <w:p>
            <w:pPr>
              <w:jc w:val="center"/>
            </w:pPr>
            <w:r>
              <w:rPr>
                <w:color w:val="0F172A"/>
                <w:sz w:val="18"/>
              </w:rPr>
              <w:t>Integer</w:t>
            </w:r>
          </w:p>
        </w:tc>
        <w:tc>
          <w:tcPr>
            <w:tcW w:type="dxa" w:w="1872"/>
            <w:shd w:fill="F8FAFC"/>
            <w:tcMar>
              <w:top w:w="100" w:type="dxa"/>
              <w:bottom w:w="100" w:type="dxa"/>
              <w:left w:w="120" w:type="dxa"/>
              <w:right w:w="120" w:type="dxa"/>
            </w:tcMar>
          </w:tcPr>
          <w:p>
            <w:pPr>
              <w:jc w:val="left"/>
            </w:pPr>
            <w:r>
              <w:rPr>
                <w:color w:val="0F172A"/>
                <w:sz w:val="18"/>
              </w:rPr>
              <w:t>49</w:t>
            </w:r>
          </w:p>
        </w:tc>
        <w:tc>
          <w:tcPr>
            <w:tcW w:type="dxa" w:w="1872"/>
            <w:shd w:fill="F8FAFC"/>
            <w:tcMar>
              <w:top w:w="100" w:type="dxa"/>
              <w:bottom w:w="100" w:type="dxa"/>
              <w:left w:w="120" w:type="dxa"/>
              <w:right w:w="120" w:type="dxa"/>
            </w:tcMar>
          </w:tcPr>
          <w:p>
            <w:pPr>
              <w:jc w:val="center"/>
            </w:pPr>
            <w:r>
              <w:rPr>
                <w:color w:val="0F172A"/>
                <w:sz w:val="18"/>
              </w:rPr>
              <w:t>Vehicles</w:t>
            </w:r>
          </w:p>
        </w:tc>
        <w:tc>
          <w:tcPr>
            <w:tcW w:type="dxa" w:w="1872"/>
            <w:shd w:fill="F8FAFC"/>
            <w:tcMar>
              <w:top w:w="100" w:type="dxa"/>
              <w:bottom w:w="100" w:type="dxa"/>
              <w:left w:w="120" w:type="dxa"/>
              <w:right w:w="120" w:type="dxa"/>
            </w:tcMar>
          </w:tcPr>
          <w:p>
            <w:pPr>
              <w:jc w:val="left"/>
            </w:pPr>
            <w:r>
              <w:rPr>
                <w:color w:val="0F172A"/>
                <w:sz w:val="18"/>
              </w:rPr>
              <w:t>Minimum 15-tonne compactor trucks required for 100% daily clearance (15T @ 2 trips/day).</w:t>
            </w:r>
          </w:p>
        </w:tc>
      </w:tr>
      <w:tr>
        <w:tc>
          <w:tcPr>
            <w:tcW w:type="dxa" w:w="1872"/>
            <w:shd w:fill="FFFFFF"/>
            <w:tcMar>
              <w:top w:w="100" w:type="dxa"/>
              <w:bottom w:w="100" w:type="dxa"/>
              <w:left w:w="120" w:type="dxa"/>
              <w:right w:w="120" w:type="dxa"/>
            </w:tcMar>
          </w:tcPr>
          <w:p>
            <w:pPr>
              <w:jc w:val="center"/>
            </w:pPr>
            <w:r>
              <w:rPr>
                <w:color w:val="0F172A"/>
                <w:sz w:val="18"/>
              </w:rPr>
              <w:t>logistics_directive</w:t>
            </w:r>
          </w:p>
        </w:tc>
        <w:tc>
          <w:tcPr>
            <w:tcW w:type="dxa" w:w="1872"/>
            <w:shd w:fill="FFFFFF"/>
            <w:tcMar>
              <w:top w:w="100" w:type="dxa"/>
              <w:bottom w:w="100" w:type="dxa"/>
              <w:left w:w="120" w:type="dxa"/>
              <w:right w:w="120" w:type="dxa"/>
            </w:tcMar>
          </w:tcPr>
          <w:p>
            <w:pPr>
              <w:jc w:val="center"/>
            </w:pPr>
            <w:r>
              <w:rPr>
                <w:color w:val="0F172A"/>
                <w:sz w:val="18"/>
              </w:rPr>
              <w:t>String</w:t>
            </w:r>
          </w:p>
        </w:tc>
        <w:tc>
          <w:tcPr>
            <w:tcW w:type="dxa" w:w="1872"/>
            <w:shd w:fill="FFFFFF"/>
            <w:tcMar>
              <w:top w:w="100" w:type="dxa"/>
              <w:bottom w:w="100" w:type="dxa"/>
              <w:left w:w="120" w:type="dxa"/>
              <w:right w:w="120" w:type="dxa"/>
            </w:tcMar>
          </w:tcPr>
          <w:p>
            <w:pPr>
              <w:jc w:val="left"/>
            </w:pPr>
            <w:r>
              <w:rPr>
                <w:color w:val="0F172A"/>
                <w:sz w:val="18"/>
              </w:rPr>
              <w:t>Textual Action</w:t>
            </w:r>
          </w:p>
        </w:tc>
        <w:tc>
          <w:tcPr>
            <w:tcW w:type="dxa" w:w="1872"/>
            <w:shd w:fill="FFFFFF"/>
            <w:tcMar>
              <w:top w:w="100" w:type="dxa"/>
              <w:bottom w:w="100" w:type="dxa"/>
              <w:left w:w="120" w:type="dxa"/>
              <w:right w:w="120" w:type="dxa"/>
            </w:tcMar>
          </w:tcPr>
          <w:p>
            <w:pPr>
              <w:jc w:val="center"/>
            </w:pPr>
            <w:r>
              <w:rPr>
                <w:color w:val="0F172A"/>
                <w:sz w:val="18"/>
              </w:rPr>
              <w:t>Guideline</w:t>
            </w:r>
          </w:p>
        </w:tc>
        <w:tc>
          <w:tcPr>
            <w:tcW w:type="dxa" w:w="1872"/>
            <w:shd w:fill="FFFFFF"/>
            <w:tcMar>
              <w:top w:w="100" w:type="dxa"/>
              <w:bottom w:w="100" w:type="dxa"/>
              <w:left w:w="120" w:type="dxa"/>
              <w:right w:w="120" w:type="dxa"/>
            </w:tcMar>
          </w:tcPr>
          <w:p>
            <w:pPr>
              <w:jc w:val="left"/>
            </w:pPr>
            <w:r>
              <w:rPr>
                <w:color w:val="0F172A"/>
                <w:sz w:val="18"/>
              </w:rPr>
              <w:t>Actionable fleet scheduling, labor shift, and landfill compaction instruction.</w:t>
            </w:r>
          </w:p>
        </w:tc>
      </w:tr>
    </w:tbl>
    <w:p>
      <w:pPr>
        <w:spacing w:after="200"/>
      </w:pPr>
    </w:p>
    <w:p>
      <w:pPr>
        <w:spacing w:after="80"/>
      </w:pPr>
      <w:r>
        <w:rPr>
          <w:b/>
        </w:rPr>
        <w:t>Table 4.2B: Empirical 5-Tier Operational Waste Classification Scheme &amp; Action Directives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F172A"/>
            <w:tcMar>
              <w:top w:w="140" w:type="dxa"/>
              <w:bottom w:w="140" w:type="dxa"/>
              <w:left w:w="140" w:type="dxa"/>
              <w:right w:w="140" w:type="dxa"/>
            </w:tcMar>
          </w:tcPr>
          <w:p>
            <w:pPr>
              <w:jc w:val="center"/>
            </w:pPr>
            <w:r>
              <w:rPr>
                <w:b/>
                <w:color w:val="FFFFFF"/>
                <w:sz w:val="19"/>
              </w:rPr>
              <w:t>Waste Class</w:t>
            </w:r>
          </w:p>
        </w:tc>
        <w:tc>
          <w:tcPr>
            <w:tcW w:type="dxa" w:w="1560"/>
            <w:shd w:fill="0F172A"/>
            <w:tcMar>
              <w:top w:w="140" w:type="dxa"/>
              <w:bottom w:w="140" w:type="dxa"/>
              <w:left w:w="140" w:type="dxa"/>
              <w:right w:w="140" w:type="dxa"/>
            </w:tcMar>
          </w:tcPr>
          <w:p>
            <w:pPr>
              <w:jc w:val="center"/>
            </w:pPr>
            <w:r>
              <w:rPr>
                <w:b/>
                <w:color w:val="FFFFFF"/>
                <w:sz w:val="19"/>
              </w:rPr>
              <w:t>Monthly Range (Tonnes/Mo)</w:t>
            </w:r>
          </w:p>
        </w:tc>
        <w:tc>
          <w:tcPr>
            <w:tcW w:type="dxa" w:w="1560"/>
            <w:shd w:fill="0F172A"/>
            <w:tcMar>
              <w:top w:w="140" w:type="dxa"/>
              <w:bottom w:w="140" w:type="dxa"/>
              <w:left w:w="140" w:type="dxa"/>
              <w:right w:w="140" w:type="dxa"/>
            </w:tcMar>
          </w:tcPr>
          <w:p>
            <w:pPr>
              <w:jc w:val="center"/>
            </w:pPr>
            <w:r>
              <w:rPr>
                <w:b/>
                <w:color w:val="FFFFFF"/>
                <w:sz w:val="19"/>
              </w:rPr>
              <w:t>Daily Equivalent (Tonnes/Day)</w:t>
            </w:r>
          </w:p>
        </w:tc>
        <w:tc>
          <w:tcPr>
            <w:tcW w:type="dxa" w:w="1560"/>
            <w:shd w:fill="0F172A"/>
            <w:tcMar>
              <w:top w:w="140" w:type="dxa"/>
              <w:bottom w:w="140" w:type="dxa"/>
              <w:left w:w="140" w:type="dxa"/>
              <w:right w:w="140" w:type="dxa"/>
            </w:tcMar>
          </w:tcPr>
          <w:p>
            <w:pPr>
              <w:jc w:val="center"/>
            </w:pPr>
            <w:r>
              <w:rPr>
                <w:b/>
                <w:color w:val="FFFFFF"/>
                <w:sz w:val="19"/>
              </w:rPr>
              <w:t>Indicator Color</w:t>
            </w:r>
          </w:p>
        </w:tc>
        <w:tc>
          <w:tcPr>
            <w:tcW w:type="dxa" w:w="1560"/>
            <w:shd w:fill="0F172A"/>
            <w:tcMar>
              <w:top w:w="140" w:type="dxa"/>
              <w:bottom w:w="140" w:type="dxa"/>
              <w:left w:w="140" w:type="dxa"/>
              <w:right w:w="140" w:type="dxa"/>
            </w:tcMar>
          </w:tcPr>
          <w:p>
            <w:pPr>
              <w:jc w:val="center"/>
            </w:pPr>
            <w:r>
              <w:rPr>
                <w:b/>
                <w:color w:val="FFFFFF"/>
                <w:sz w:val="19"/>
              </w:rPr>
              <w:t>Empirical Baseline Context</w:t>
            </w:r>
          </w:p>
        </w:tc>
        <w:tc>
          <w:tcPr>
            <w:tcW w:type="dxa" w:w="1560"/>
            <w:shd w:fill="0F172A"/>
            <w:tcMar>
              <w:top w:w="140" w:type="dxa"/>
              <w:bottom w:w="140" w:type="dxa"/>
              <w:left w:w="140" w:type="dxa"/>
              <w:right w:w="140" w:type="dxa"/>
            </w:tcMar>
          </w:tcPr>
          <w:p>
            <w:pPr>
              <w:jc w:val="center"/>
            </w:pPr>
            <w:r>
              <w:rPr>
                <w:b/>
                <w:color w:val="FFFFFF"/>
                <w:sz w:val="19"/>
              </w:rPr>
              <w:t>Operational &amp; Logistics Directive</w:t>
            </w:r>
          </w:p>
        </w:tc>
      </w:tr>
      <w:tr>
        <w:tc>
          <w:tcPr>
            <w:tcW w:type="dxa" w:w="1560"/>
            <w:shd w:fill="FFFFFF"/>
            <w:tcMar>
              <w:top w:w="100" w:type="dxa"/>
              <w:bottom w:w="100" w:type="dxa"/>
              <w:left w:w="120" w:type="dxa"/>
              <w:right w:w="120" w:type="dxa"/>
            </w:tcMar>
          </w:tcPr>
          <w:p>
            <w:pPr>
              <w:jc w:val="center"/>
            </w:pPr>
            <w:r>
              <w:rPr>
                <w:color w:val="0F172A"/>
                <w:sz w:val="18"/>
              </w:rPr>
              <w:t>Very Low</w:t>
            </w:r>
          </w:p>
        </w:tc>
        <w:tc>
          <w:tcPr>
            <w:tcW w:type="dxa" w:w="1560"/>
            <w:shd w:fill="FFFFFF"/>
            <w:tcMar>
              <w:top w:w="100" w:type="dxa"/>
              <w:bottom w:w="100" w:type="dxa"/>
              <w:left w:w="120" w:type="dxa"/>
              <w:right w:w="120" w:type="dxa"/>
            </w:tcMar>
          </w:tcPr>
          <w:p>
            <w:pPr>
              <w:jc w:val="center"/>
            </w:pPr>
            <w:r>
              <w:rPr>
                <w:color w:val="0F172A"/>
                <w:sz w:val="18"/>
              </w:rPr>
              <w:t>&lt; 30,000 t</w:t>
            </w:r>
          </w:p>
        </w:tc>
        <w:tc>
          <w:tcPr>
            <w:tcW w:type="dxa" w:w="1560"/>
            <w:shd w:fill="FFFFFF"/>
            <w:tcMar>
              <w:top w:w="100" w:type="dxa"/>
              <w:bottom w:w="100" w:type="dxa"/>
              <w:left w:w="120" w:type="dxa"/>
              <w:right w:w="120" w:type="dxa"/>
            </w:tcMar>
          </w:tcPr>
          <w:p>
            <w:pPr>
              <w:jc w:val="center"/>
            </w:pPr>
            <w:r>
              <w:rPr>
                <w:color w:val="0F172A"/>
                <w:sz w:val="18"/>
              </w:rPr>
              <w:t>&lt; 986.3 t/day</w:t>
            </w:r>
          </w:p>
        </w:tc>
        <w:tc>
          <w:tcPr>
            <w:tcW w:type="dxa" w:w="1560"/>
            <w:shd w:fill="FFFFFF"/>
            <w:tcMar>
              <w:top w:w="100" w:type="dxa"/>
              <w:bottom w:w="100" w:type="dxa"/>
              <w:left w:w="120" w:type="dxa"/>
              <w:right w:w="120" w:type="dxa"/>
            </w:tcMar>
          </w:tcPr>
          <w:p>
            <w:pPr>
              <w:jc w:val="center"/>
            </w:pPr>
            <w:r>
              <w:rPr>
                <w:color w:val="0F172A"/>
                <w:sz w:val="18"/>
              </w:rPr>
              <w:t>Green (#059669)</w:t>
            </w:r>
          </w:p>
        </w:tc>
        <w:tc>
          <w:tcPr>
            <w:tcW w:type="dxa" w:w="1560"/>
            <w:shd w:fill="FFFFFF"/>
            <w:tcMar>
              <w:top w:w="100" w:type="dxa"/>
              <w:bottom w:w="100" w:type="dxa"/>
              <w:left w:w="120" w:type="dxa"/>
              <w:right w:w="120" w:type="dxa"/>
            </w:tcMar>
          </w:tcPr>
          <w:p>
            <w:pPr>
              <w:jc w:val="left"/>
            </w:pPr>
            <w:r>
              <w:rPr>
                <w:color w:val="0F172A"/>
                <w:sz w:val="18"/>
              </w:rPr>
              <w:t>Observed in 2019 baseline (low urban population)</w:t>
            </w:r>
          </w:p>
        </w:tc>
        <w:tc>
          <w:tcPr>
            <w:tcW w:type="dxa" w:w="1560"/>
            <w:shd w:fill="FFFFFF"/>
            <w:tcMar>
              <w:top w:w="100" w:type="dxa"/>
              <w:bottom w:w="100" w:type="dxa"/>
              <w:left w:w="120" w:type="dxa"/>
              <w:right w:w="120" w:type="dxa"/>
            </w:tcMar>
          </w:tcPr>
          <w:p>
            <w:pPr>
              <w:jc w:val="left"/>
            </w:pPr>
            <w:r>
              <w:rPr>
                <w:color w:val="0F172A"/>
                <w:sz w:val="18"/>
              </w:rPr>
              <w:t>Routine baseline maintenance. Standard compactor scheduling and regular landfill operations.</w:t>
            </w:r>
          </w:p>
        </w:tc>
      </w:tr>
      <w:tr>
        <w:tc>
          <w:tcPr>
            <w:tcW w:type="dxa" w:w="1560"/>
            <w:shd w:fill="F8FAFC"/>
            <w:tcMar>
              <w:top w:w="100" w:type="dxa"/>
              <w:bottom w:w="100" w:type="dxa"/>
              <w:left w:w="120" w:type="dxa"/>
              <w:right w:w="120" w:type="dxa"/>
            </w:tcMar>
          </w:tcPr>
          <w:p>
            <w:pPr>
              <w:jc w:val="center"/>
            </w:pPr>
            <w:r>
              <w:rPr>
                <w:color w:val="0F172A"/>
                <w:sz w:val="18"/>
              </w:rPr>
              <w:t>Low</w:t>
            </w:r>
          </w:p>
        </w:tc>
        <w:tc>
          <w:tcPr>
            <w:tcW w:type="dxa" w:w="1560"/>
            <w:shd w:fill="F8FAFC"/>
            <w:tcMar>
              <w:top w:w="100" w:type="dxa"/>
              <w:bottom w:w="100" w:type="dxa"/>
              <w:left w:w="120" w:type="dxa"/>
              <w:right w:w="120" w:type="dxa"/>
            </w:tcMar>
          </w:tcPr>
          <w:p>
            <w:pPr>
              <w:jc w:val="center"/>
            </w:pPr>
            <w:r>
              <w:rPr>
                <w:color w:val="0F172A"/>
                <w:sz w:val="18"/>
              </w:rPr>
              <w:t>30,000 – 35,000 t</w:t>
            </w:r>
          </w:p>
        </w:tc>
        <w:tc>
          <w:tcPr>
            <w:tcW w:type="dxa" w:w="1560"/>
            <w:shd w:fill="F8FAFC"/>
            <w:tcMar>
              <w:top w:w="100" w:type="dxa"/>
              <w:bottom w:w="100" w:type="dxa"/>
              <w:left w:w="120" w:type="dxa"/>
              <w:right w:w="120" w:type="dxa"/>
            </w:tcMar>
          </w:tcPr>
          <w:p>
            <w:pPr>
              <w:jc w:val="center"/>
            </w:pPr>
            <w:r>
              <w:rPr>
                <w:color w:val="0F172A"/>
                <w:sz w:val="18"/>
              </w:rPr>
              <w:t>986.3 – 1,150.7 t/day</w:t>
            </w:r>
          </w:p>
        </w:tc>
        <w:tc>
          <w:tcPr>
            <w:tcW w:type="dxa" w:w="1560"/>
            <w:shd w:fill="F8FAFC"/>
            <w:tcMar>
              <w:top w:w="100" w:type="dxa"/>
              <w:bottom w:w="100" w:type="dxa"/>
              <w:left w:w="120" w:type="dxa"/>
              <w:right w:w="120" w:type="dxa"/>
            </w:tcMar>
          </w:tcPr>
          <w:p>
            <w:pPr>
              <w:jc w:val="center"/>
            </w:pPr>
            <w:r>
              <w:rPr>
                <w:color w:val="0F172A"/>
                <w:sz w:val="18"/>
              </w:rPr>
              <w:t>Blue (#0284C7)</w:t>
            </w:r>
          </w:p>
        </w:tc>
        <w:tc>
          <w:tcPr>
            <w:tcW w:type="dxa" w:w="1560"/>
            <w:shd w:fill="F8FAFC"/>
            <w:tcMar>
              <w:top w:w="100" w:type="dxa"/>
              <w:bottom w:w="100" w:type="dxa"/>
              <w:left w:w="120" w:type="dxa"/>
              <w:right w:w="120" w:type="dxa"/>
            </w:tcMar>
          </w:tcPr>
          <w:p>
            <w:pPr>
              <w:jc w:val="left"/>
            </w:pPr>
            <w:r>
              <w:rPr>
                <w:color w:val="0F172A"/>
                <w:sz w:val="18"/>
              </w:rPr>
              <w:t>Historical 2020–2022 dry-season average</w:t>
            </w:r>
          </w:p>
        </w:tc>
        <w:tc>
          <w:tcPr>
            <w:tcW w:type="dxa" w:w="1560"/>
            <w:shd w:fill="F8FAFC"/>
            <w:tcMar>
              <w:top w:w="100" w:type="dxa"/>
              <w:bottom w:w="100" w:type="dxa"/>
              <w:left w:w="120" w:type="dxa"/>
              <w:right w:w="120" w:type="dxa"/>
            </w:tcMar>
          </w:tcPr>
          <w:p>
            <w:pPr>
              <w:jc w:val="left"/>
            </w:pPr>
            <w:r>
              <w:rPr>
                <w:color w:val="0F172A"/>
                <w:sz w:val="18"/>
              </w:rPr>
              <w:t>Standard operational mode. Maintain regular daily collection sweeps across all 6 zones (33-38 compactors).</w:t>
            </w:r>
          </w:p>
        </w:tc>
      </w:tr>
      <w:tr>
        <w:tc>
          <w:tcPr>
            <w:tcW w:type="dxa" w:w="1560"/>
            <w:shd w:fill="FFFFFF"/>
            <w:tcMar>
              <w:top w:w="100" w:type="dxa"/>
              <w:bottom w:w="100" w:type="dxa"/>
              <w:left w:w="120" w:type="dxa"/>
              <w:right w:w="120" w:type="dxa"/>
            </w:tcMar>
          </w:tcPr>
          <w:p>
            <w:pPr>
              <w:jc w:val="center"/>
            </w:pPr>
            <w:r>
              <w:rPr>
                <w:color w:val="0F172A"/>
                <w:sz w:val="18"/>
              </w:rPr>
              <w:t>Moderate</w:t>
            </w:r>
          </w:p>
        </w:tc>
        <w:tc>
          <w:tcPr>
            <w:tcW w:type="dxa" w:w="1560"/>
            <w:shd w:fill="FFFFFF"/>
            <w:tcMar>
              <w:top w:w="100" w:type="dxa"/>
              <w:bottom w:w="100" w:type="dxa"/>
              <w:left w:w="120" w:type="dxa"/>
              <w:right w:w="120" w:type="dxa"/>
            </w:tcMar>
          </w:tcPr>
          <w:p>
            <w:pPr>
              <w:jc w:val="center"/>
            </w:pPr>
            <w:r>
              <w:rPr>
                <w:color w:val="0F172A"/>
                <w:sz w:val="18"/>
              </w:rPr>
              <w:t>35,000 – 40,000 t</w:t>
            </w:r>
          </w:p>
        </w:tc>
        <w:tc>
          <w:tcPr>
            <w:tcW w:type="dxa" w:w="1560"/>
            <w:shd w:fill="FFFFFF"/>
            <w:tcMar>
              <w:top w:w="100" w:type="dxa"/>
              <w:bottom w:w="100" w:type="dxa"/>
              <w:left w:w="120" w:type="dxa"/>
              <w:right w:w="120" w:type="dxa"/>
            </w:tcMar>
          </w:tcPr>
          <w:p>
            <w:pPr>
              <w:jc w:val="center"/>
            </w:pPr>
            <w:r>
              <w:rPr>
                <w:color w:val="0F172A"/>
                <w:sz w:val="18"/>
              </w:rPr>
              <w:t>1,150.7 – 1,315.1 t/day</w:t>
            </w:r>
          </w:p>
        </w:tc>
        <w:tc>
          <w:tcPr>
            <w:tcW w:type="dxa" w:w="1560"/>
            <w:shd w:fill="FFFFFF"/>
            <w:tcMar>
              <w:top w:w="100" w:type="dxa"/>
              <w:bottom w:w="100" w:type="dxa"/>
              <w:left w:w="120" w:type="dxa"/>
              <w:right w:w="120" w:type="dxa"/>
            </w:tcMar>
          </w:tcPr>
          <w:p>
            <w:pPr>
              <w:jc w:val="center"/>
            </w:pPr>
            <w:r>
              <w:rPr>
                <w:color w:val="0F172A"/>
                <w:sz w:val="18"/>
              </w:rPr>
              <w:t>Amber (#D97706)</w:t>
            </w:r>
          </w:p>
        </w:tc>
        <w:tc>
          <w:tcPr>
            <w:tcW w:type="dxa" w:w="1560"/>
            <w:shd w:fill="FFFFFF"/>
            <w:tcMar>
              <w:top w:w="100" w:type="dxa"/>
              <w:bottom w:w="100" w:type="dxa"/>
              <w:left w:w="120" w:type="dxa"/>
              <w:right w:w="120" w:type="dxa"/>
            </w:tcMar>
          </w:tcPr>
          <w:p>
            <w:pPr>
              <w:jc w:val="left"/>
            </w:pPr>
            <w:r>
              <w:rPr>
                <w:color w:val="0F172A"/>
                <w:sz w:val="18"/>
              </w:rPr>
              <w:t>Historical 2023–2024 mean &amp; early 2026</w:t>
            </w:r>
          </w:p>
        </w:tc>
        <w:tc>
          <w:tcPr>
            <w:tcW w:type="dxa" w:w="1560"/>
            <w:shd w:fill="FFFFFF"/>
            <w:tcMar>
              <w:top w:w="100" w:type="dxa"/>
              <w:bottom w:w="100" w:type="dxa"/>
              <w:left w:w="120" w:type="dxa"/>
              <w:right w:w="120" w:type="dxa"/>
            </w:tcMar>
          </w:tcPr>
          <w:p>
            <w:pPr>
              <w:jc w:val="left"/>
            </w:pPr>
            <w:r>
              <w:rPr>
                <w:color w:val="0F172A"/>
                <w:sz w:val="18"/>
              </w:rPr>
              <w:t>Heightened monitoring. Pre-position standby compactor units at Itam Market and Ibom Plaza (39-44 compactors).</w:t>
            </w:r>
          </w:p>
        </w:tc>
      </w:tr>
      <w:tr>
        <w:tc>
          <w:tcPr>
            <w:tcW w:type="dxa" w:w="1560"/>
            <w:shd w:fill="F8FAFC"/>
            <w:tcMar>
              <w:top w:w="100" w:type="dxa"/>
              <w:bottom w:w="100" w:type="dxa"/>
              <w:left w:w="120" w:type="dxa"/>
              <w:right w:w="120" w:type="dxa"/>
            </w:tcMar>
          </w:tcPr>
          <w:p>
            <w:pPr>
              <w:jc w:val="center"/>
            </w:pPr>
            <w:r>
              <w:rPr>
                <w:color w:val="0F172A"/>
                <w:sz w:val="18"/>
              </w:rPr>
              <w:t>High</w:t>
            </w:r>
          </w:p>
        </w:tc>
        <w:tc>
          <w:tcPr>
            <w:tcW w:type="dxa" w:w="1560"/>
            <w:shd w:fill="F8FAFC"/>
            <w:tcMar>
              <w:top w:w="100" w:type="dxa"/>
              <w:bottom w:w="100" w:type="dxa"/>
              <w:left w:w="120" w:type="dxa"/>
              <w:right w:w="120" w:type="dxa"/>
            </w:tcMar>
          </w:tcPr>
          <w:p>
            <w:pPr>
              <w:jc w:val="center"/>
            </w:pPr>
            <w:r>
              <w:rPr>
                <w:color w:val="0F172A"/>
                <w:sz w:val="18"/>
              </w:rPr>
              <w:t>40,000 – 45,000 t</w:t>
            </w:r>
          </w:p>
        </w:tc>
        <w:tc>
          <w:tcPr>
            <w:tcW w:type="dxa" w:w="1560"/>
            <w:shd w:fill="F8FAFC"/>
            <w:tcMar>
              <w:top w:w="100" w:type="dxa"/>
              <w:bottom w:w="100" w:type="dxa"/>
              <w:left w:w="120" w:type="dxa"/>
              <w:right w:w="120" w:type="dxa"/>
            </w:tcMar>
          </w:tcPr>
          <w:p>
            <w:pPr>
              <w:jc w:val="center"/>
            </w:pPr>
            <w:r>
              <w:rPr>
                <w:color w:val="0F172A"/>
                <w:sz w:val="18"/>
              </w:rPr>
              <w:t>1,315.1 – 1,479.5 t/day</w:t>
            </w:r>
          </w:p>
        </w:tc>
        <w:tc>
          <w:tcPr>
            <w:tcW w:type="dxa" w:w="1560"/>
            <w:shd w:fill="F8FAFC"/>
            <w:tcMar>
              <w:top w:w="100" w:type="dxa"/>
              <w:bottom w:w="100" w:type="dxa"/>
              <w:left w:w="120" w:type="dxa"/>
              <w:right w:w="120" w:type="dxa"/>
            </w:tcMar>
          </w:tcPr>
          <w:p>
            <w:pPr>
              <w:jc w:val="center"/>
            </w:pPr>
            <w:r>
              <w:rPr>
                <w:color w:val="0F172A"/>
                <w:sz w:val="18"/>
              </w:rPr>
              <w:t>Orange (#EA580C)</w:t>
            </w:r>
          </w:p>
        </w:tc>
        <w:tc>
          <w:tcPr>
            <w:tcW w:type="dxa" w:w="1560"/>
            <w:shd w:fill="F8FAFC"/>
            <w:tcMar>
              <w:top w:w="100" w:type="dxa"/>
              <w:bottom w:w="100" w:type="dxa"/>
              <w:left w:w="120" w:type="dxa"/>
              <w:right w:w="120" w:type="dxa"/>
            </w:tcMar>
          </w:tcPr>
          <w:p>
            <w:pPr>
              <w:jc w:val="left"/>
            </w:pPr>
            <w:r>
              <w:rPr>
                <w:color w:val="0F172A"/>
                <w:sz w:val="18"/>
              </w:rPr>
              <w:t>Predominant class for 2026–2030 projections</w:t>
            </w:r>
          </w:p>
        </w:tc>
        <w:tc>
          <w:tcPr>
            <w:tcW w:type="dxa" w:w="1560"/>
            <w:shd w:fill="F8FAFC"/>
            <w:tcMar>
              <w:top w:w="100" w:type="dxa"/>
              <w:bottom w:w="100" w:type="dxa"/>
              <w:left w:w="120" w:type="dxa"/>
              <w:right w:w="120" w:type="dxa"/>
            </w:tcMar>
          </w:tcPr>
          <w:p>
            <w:pPr>
              <w:jc w:val="left"/>
            </w:pPr>
            <w:r>
              <w:rPr>
                <w:color w:val="0F172A"/>
                <w:sz w:val="18"/>
              </w:rPr>
              <w:t>High generation. Deploy expanded fleet routing, secondary evening sweeps, and optimize transfer hubs (44-49 compactors).</w:t>
            </w:r>
          </w:p>
        </w:tc>
      </w:tr>
      <w:tr>
        <w:tc>
          <w:tcPr>
            <w:tcW w:type="dxa" w:w="1560"/>
            <w:shd w:fill="FFFFFF"/>
            <w:tcMar>
              <w:top w:w="100" w:type="dxa"/>
              <w:bottom w:w="100" w:type="dxa"/>
              <w:left w:w="120" w:type="dxa"/>
              <w:right w:w="120" w:type="dxa"/>
            </w:tcMar>
          </w:tcPr>
          <w:p>
            <w:pPr>
              <w:jc w:val="center"/>
            </w:pPr>
            <w:r>
              <w:rPr>
                <w:color w:val="0F172A"/>
                <w:sz w:val="18"/>
              </w:rPr>
              <w:t>Very High</w:t>
            </w:r>
          </w:p>
        </w:tc>
        <w:tc>
          <w:tcPr>
            <w:tcW w:type="dxa" w:w="1560"/>
            <w:shd w:fill="FFFFFF"/>
            <w:tcMar>
              <w:top w:w="100" w:type="dxa"/>
              <w:bottom w:w="100" w:type="dxa"/>
              <w:left w:w="120" w:type="dxa"/>
              <w:right w:w="120" w:type="dxa"/>
            </w:tcMar>
          </w:tcPr>
          <w:p>
            <w:pPr>
              <w:jc w:val="center"/>
            </w:pPr>
            <w:r>
              <w:rPr>
                <w:color w:val="0F172A"/>
                <w:sz w:val="18"/>
              </w:rPr>
              <w:t>≥ 45,000 t</w:t>
            </w:r>
          </w:p>
        </w:tc>
        <w:tc>
          <w:tcPr>
            <w:tcW w:type="dxa" w:w="1560"/>
            <w:shd w:fill="FFFFFF"/>
            <w:tcMar>
              <w:top w:w="100" w:type="dxa"/>
              <w:bottom w:w="100" w:type="dxa"/>
              <w:left w:w="120" w:type="dxa"/>
              <w:right w:w="120" w:type="dxa"/>
            </w:tcMar>
          </w:tcPr>
          <w:p>
            <w:pPr>
              <w:jc w:val="center"/>
            </w:pPr>
            <w:r>
              <w:rPr>
                <w:color w:val="0F172A"/>
                <w:sz w:val="18"/>
              </w:rPr>
              <w:t>≥ 1,479.5 t/day</w:t>
            </w:r>
          </w:p>
        </w:tc>
        <w:tc>
          <w:tcPr>
            <w:tcW w:type="dxa" w:w="1560"/>
            <w:shd w:fill="FFFFFF"/>
            <w:tcMar>
              <w:top w:w="100" w:type="dxa"/>
              <w:bottom w:w="100" w:type="dxa"/>
              <w:left w:w="120" w:type="dxa"/>
              <w:right w:w="120" w:type="dxa"/>
            </w:tcMar>
          </w:tcPr>
          <w:p>
            <w:pPr>
              <w:jc w:val="center"/>
            </w:pPr>
            <w:r>
              <w:rPr>
                <w:color w:val="0F172A"/>
                <w:sz w:val="18"/>
              </w:rPr>
              <w:t>Red (#DC2626)</w:t>
            </w:r>
          </w:p>
        </w:tc>
        <w:tc>
          <w:tcPr>
            <w:tcW w:type="dxa" w:w="1560"/>
            <w:shd w:fill="FFFFFF"/>
            <w:tcMar>
              <w:top w:w="100" w:type="dxa"/>
              <w:bottom w:w="100" w:type="dxa"/>
              <w:left w:w="120" w:type="dxa"/>
              <w:right w:w="120" w:type="dxa"/>
            </w:tcMar>
          </w:tcPr>
          <w:p>
            <w:pPr>
              <w:jc w:val="left"/>
            </w:pPr>
            <w:r>
              <w:rPr>
                <w:color w:val="0F172A"/>
                <w:sz w:val="18"/>
              </w:rPr>
              <w:t>Festive Q4 seasons (Nov-Dec) and peak wet months</w:t>
            </w:r>
          </w:p>
        </w:tc>
        <w:tc>
          <w:tcPr>
            <w:tcW w:type="dxa" w:w="1560"/>
            <w:shd w:fill="FFFFFF"/>
            <w:tcMar>
              <w:top w:w="100" w:type="dxa"/>
              <w:bottom w:w="100" w:type="dxa"/>
              <w:left w:w="120" w:type="dxa"/>
              <w:right w:w="120" w:type="dxa"/>
            </w:tcMar>
          </w:tcPr>
          <w:p>
            <w:pPr>
              <w:jc w:val="left"/>
            </w:pPr>
            <w:r>
              <w:rPr>
                <w:color w:val="0F172A"/>
                <w:sz w:val="18"/>
              </w:rPr>
              <w:t>Critical peak overload! Mobilize maximum compactor fleet (≥50 trucks), authorize overtime shifts, and fast-track landfill compaction.</w:t>
            </w:r>
          </w:p>
        </w:tc>
      </w:tr>
    </w:tbl>
    <w:p>
      <w:pPr>
        <w:spacing w:after="200"/>
      </w:pPr>
    </w:p>
    <w:p>
      <w:pPr>
        <w:pStyle w:val="Heading3"/>
      </w:pPr>
      <w:r>
        <w:t>4.1.2.1 Diagnostic Graphical and Analytical Outputs</w:t>
      </w:r>
    </w:p>
    <w:p>
      <w:r>
        <w:t>The system generates twelve standardized high-resolution visual artifacts (rendered at 200 DPI vector clarity) for research reporting and administrative defense:</w:t>
      </w:r>
    </w:p>
    <w:p>
      <w:pPr>
        <w:pStyle w:val="ListBullet"/>
      </w:pPr>
      <w:r>
        <w:rPr>
          <w:b/>
        </w:rPr>
        <w:t xml:space="preserve">Actual vs. Predicted Scatter Plot: </w:t>
      </w:r>
      <w:r>
        <w:t>Validates empirical fit against the 45-degree diagonal line of perfect agreement (y = x), distinguishing training observations (green circles) from out-of-time test observations (red squares), confirming an overall R^2 of 0.9854.</w:t>
      </w:r>
    </w:p>
    <w:p>
      <w:pPr>
        <w:pStyle w:val="ListBullet"/>
      </w:pPr>
      <w:r>
        <w:rPr>
          <w:b/>
        </w:rPr>
        <w:t xml:space="preserve">Residual Error Normality Histogram: </w:t>
      </w:r>
      <w:r>
        <w:t>Confirms that model error residuals (e_i = y_i - ŷ_i) conform to an authentic Gaussian normal distribution N(μ, σ) centered around zero without systematic bias.</w:t>
      </w:r>
    </w:p>
    <w:p>
      <w:pPr>
        <w:pStyle w:val="ListBullet"/>
      </w:pPr>
      <w:r>
        <w:rPr>
          <w:b/>
        </w:rPr>
        <w:t xml:space="preserve">Chronological Time-Series Tracking Plot: </w:t>
      </w:r>
      <w:r>
        <w:t>Traces the full 84-month observed trajectory against GPR model predictions alongside the continuous shaded 95% Bayesian uncertainty band, marking the train/test chronological split boundary.</w:t>
      </w:r>
    </w:p>
    <w:p>
      <w:pPr>
        <w:pStyle w:val="ListBullet"/>
      </w:pPr>
      <w:r>
        <w:rPr>
          <w:b/>
        </w:rPr>
        <w:t xml:space="preserve">Operational Tier Confusion Matrix Heatmap: </w:t>
      </w:r>
      <w:r>
        <w:t>A color-coded classification heatmap assessing model fidelity across the four operational triage tiers, demonstrating an overall classification accuracy of 91.7%.</w:t>
      </w:r>
    </w:p>
    <w:p>
      <w:pPr>
        <w:pStyle w:val="ListBullet"/>
      </w:pPr>
      <w:r>
        <w:rPr>
          <w:b/>
        </w:rPr>
        <w:t xml:space="preserve">Interactive GIS Municipal Collection Map: </w:t>
      </w:r>
      <w:r>
        <w:t>A geospatial representation of Uyo Municipality collection zones (Ibom Plaza, Itam Market, Aka Road, etc.) with proportional tonnage markers and truck route indicators.</w:t>
      </w:r>
    </w:p>
    <w:p>
      <w:pPr>
        <w:pStyle w:val="ListBullet"/>
      </w:pPr>
      <w:r>
        <w:rPr>
          <w:b/>
        </w:rPr>
        <w:t xml:space="preserve">Root Mean Squared Error (RMSE) Benchmark Graph: </w:t>
      </w:r>
      <w:r>
        <w:t>A standalone bar chart contrasting Root Mean Squared Error (in Metric Tonnes) across all candidate kernels, heavily penalizing variance to confirm that the Proposed Composite Kernel achieves minimum variance and outlier error (RMSE = 1,297.2 t vs. RBF = 1,725.9 t).</w:t>
      </w:r>
    </w:p>
    <w:p>
      <w:pPr>
        <w:pStyle w:val="ListBullet"/>
      </w:pPr>
      <w:r>
        <w:rPr>
          <w:b/>
        </w:rPr>
        <w:t xml:space="preserve">Mean Absolute Error (MAE) Benchmark Graph: </w:t>
      </w:r>
      <w:r>
        <w:t>A standalone bar chart contrasting Mean Absolute Error (in Metric Tonnes) on a linear physical scale across candidate kernels, verifying that the Proposed Composite Kernel is the sole architecture achieving sub-1,000-tonne mean deviation (MAE = 975.4 t vs. RBF = 1,331.7 t).</w:t>
      </w:r>
    </w:p>
    <w:p>
      <w:pPr>
        <w:pStyle w:val="ListBullet"/>
      </w:pPr>
      <w:r>
        <w:rPr>
          <w:b/>
        </w:rPr>
        <w:t xml:space="preserve">Mean Absolute Percentage Error (MAPE %) Benchmark Graph: </w:t>
      </w:r>
      <w:r>
        <w:t>A standalone bar chart evaluating scale-independent relative accuracy across kernels, showing that the Proposed Composite Kernel achieves 2.34% MAPE, well below the 5% international tolerance limit for precision engineering.</w:t>
      </w:r>
    </w:p>
    <w:p>
      <w:pPr>
        <w:pStyle w:val="ListBullet"/>
      </w:pPr>
      <w:r>
        <w:rPr>
          <w:b/>
        </w:rPr>
        <w:t xml:space="preserve">Partition Error Comparison Chart (Train vs. Out-of-Time Test): </w:t>
      </w:r>
      <w:r>
        <w:t>A grouped bar chart comparing RMSE and MAE across the in-sample training partition (2019-2024: RMSE 542.2 t, MAE 463.5 t), out-of-time testing partition (2024-2025: RMSE 1,297.2 t, MAE 975.4 t), and full 84-month series (RMSE 758.3 t, MAE 567.1 t) to demonstrate generalization capacity without overfitting.</w:t>
      </w:r>
    </w:p>
    <w:p>
      <w:pPr>
        <w:pStyle w:val="ListBullet"/>
      </w:pPr>
      <w:r>
        <w:rPr>
          <w:b/>
        </w:rPr>
        <w:t xml:space="preserve">Monthly Percentage Error (MAPE %) Chronological Timeline: </w:t>
      </w:r>
      <w:r>
        <w:t>A longitudinal timeline plotting monthly absolute percentage error |y_t - ŷ_t| / y_t * 100% across all 84 historical months against the acceptable 5% municipal tolerance threshold, proving consistent precision throughout the observation window.</w:t>
      </w:r>
    </w:p>
    <w:p>
      <w:pPr>
        <w:pStyle w:val="ListBullet"/>
      </w:pPr>
      <w:r>
        <w:rPr>
          <w:b/>
        </w:rPr>
        <w:t xml:space="preserve">Main Forecasting Trajectory with Colored Waste Class Bands: </w:t>
      </w:r>
      <w:r>
        <w:t>A longitudinal time-series plot featuring horizontal pastel color-shaded background zones corresponding to the five empirical waste generation classes (Very Low: &lt;30k t, Low: 30k-35k t, Moderate: 35k-40k t, High: 40k-45k t, Very High: ≥45k t), visually revealing exactly when future municipal generation crosses operational capacity boundaries.</w:t>
      </w:r>
    </w:p>
    <w:p>
      <w:pPr>
        <w:pStyle w:val="ListBullet"/>
      </w:pPr>
      <w:r>
        <w:rPr>
          <w:b/>
        </w:rPr>
        <w:t xml:space="preserve">Waste Generation Class Distribution Breakdown Chart: </w:t>
      </w:r>
      <w:r>
        <w:t>A categorical distribution bar chart quantifying the proportion of future forecast months falling into each operational class over the 2026–2030 horizon, highlighting sustained High and Very High periods to guide AKSEPWMA compactor fleet acquisition and landfill airspace planning.</w:t>
      </w:r>
    </w:p>
    <w:p>
      <w:pPr>
        <w:spacing w:after="280"/>
      </w:pPr>
    </w:p>
    <w:p>
      <w:pPr>
        <w:pStyle w:val="Heading1"/>
      </w:pPr>
      <w:r>
        <w:t>4.4 SYSTEM SPECIFICATIONS</w:t>
      </w:r>
    </w:p>
    <w:p>
      <w:r>
        <w:t>The system specifications define the minimum and recommended hardware, software, networking, and security environments required to develop, train, execute, and deploy the Gaussian Process Regression Municipal Solid Waste Forecasting System.</w:t>
      </w:r>
    </w:p>
    <w:p>
      <w:pPr>
        <w:pStyle w:val="Heading2"/>
      </w:pPr>
      <w:r>
        <w:t>4.4.1 Hardware Specifications</w:t>
      </w:r>
    </w:p>
    <w:p>
      <w:r>
        <w:t>The hardware environment must support numerical linear algebra routines (Cholesky decomposition O(N^3) and covariance matrix inversion) during the L-BFGS-B marginal log-likelihood optimization phase, while ensuring rapid responsiveness for interactive Streamlit dashboard operations.</w:t>
      </w:r>
    </w:p>
    <w:p>
      <w:pPr>
        <w:spacing w:after="80"/>
      </w:pPr>
      <w:r>
        <w:rPr>
          <w:b/>
        </w:rPr>
        <w:t>Table 4.3: Hardware Specifications for System Execution and Deployment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Mar>
              <w:top w:w="140" w:type="dxa"/>
              <w:bottom w:w="140" w:type="dxa"/>
              <w:left w:w="140" w:type="dxa"/>
              <w:right w:w="140" w:type="dxa"/>
            </w:tcMar>
          </w:tcPr>
          <w:p>
            <w:pPr>
              <w:jc w:val="center"/>
            </w:pPr>
            <w:r>
              <w:rPr>
                <w:b/>
                <w:color w:val="FFFFFF"/>
                <w:sz w:val="19"/>
              </w:rPr>
              <w:t>Hardware Component</w:t>
            </w:r>
          </w:p>
        </w:tc>
        <w:tc>
          <w:tcPr>
            <w:tcW w:type="dxa" w:w="2340"/>
            <w:shd w:fill="0F172A"/>
            <w:tcMar>
              <w:top w:w="140" w:type="dxa"/>
              <w:bottom w:w="140" w:type="dxa"/>
              <w:left w:w="140" w:type="dxa"/>
              <w:right w:w="140" w:type="dxa"/>
            </w:tcMar>
          </w:tcPr>
          <w:p>
            <w:pPr>
              <w:jc w:val="center"/>
            </w:pPr>
            <w:r>
              <w:rPr>
                <w:b/>
                <w:color w:val="FFFFFF"/>
                <w:sz w:val="19"/>
              </w:rPr>
              <w:t>Minimum Required Specification</w:t>
            </w:r>
          </w:p>
        </w:tc>
        <w:tc>
          <w:tcPr>
            <w:tcW w:type="dxa" w:w="2340"/>
            <w:shd w:fill="0F172A"/>
            <w:tcMar>
              <w:top w:w="140" w:type="dxa"/>
              <w:bottom w:w="140" w:type="dxa"/>
              <w:left w:w="140" w:type="dxa"/>
              <w:right w:w="140" w:type="dxa"/>
            </w:tcMar>
          </w:tcPr>
          <w:p>
            <w:pPr>
              <w:jc w:val="center"/>
            </w:pPr>
            <w:r>
              <w:rPr>
                <w:b/>
                <w:color w:val="FFFFFF"/>
                <w:sz w:val="19"/>
              </w:rPr>
              <w:t>Recommended Specification (Development &amp; Deployment)</w:t>
            </w:r>
          </w:p>
        </w:tc>
        <w:tc>
          <w:tcPr>
            <w:tcW w:type="dxa" w:w="2340"/>
            <w:shd w:fill="0F172A"/>
            <w:tcMar>
              <w:top w:w="140" w:type="dxa"/>
              <w:bottom w:w="140" w:type="dxa"/>
              <w:left w:w="140" w:type="dxa"/>
              <w:right w:w="140" w:type="dxa"/>
            </w:tcMar>
          </w:tcPr>
          <w:p>
            <w:pPr>
              <w:jc w:val="center"/>
            </w:pPr>
            <w:r>
              <w:rPr>
                <w:b/>
                <w:color w:val="FFFFFF"/>
                <w:sz w:val="19"/>
              </w:rPr>
              <w:t>Technical Justification</w:t>
            </w:r>
          </w:p>
        </w:tc>
      </w:tr>
      <w:tr>
        <w:tc>
          <w:tcPr>
            <w:tcW w:type="dxa" w:w="2340"/>
            <w:shd w:fill="FFFFFF"/>
            <w:tcMar>
              <w:top w:w="100" w:type="dxa"/>
              <w:bottom w:w="100" w:type="dxa"/>
              <w:left w:w="120" w:type="dxa"/>
              <w:right w:w="120" w:type="dxa"/>
            </w:tcMar>
          </w:tcPr>
          <w:p>
            <w:pPr>
              <w:jc w:val="center"/>
            </w:pPr>
            <w:r>
              <w:rPr>
                <w:color w:val="0F172A"/>
                <w:sz w:val="18"/>
              </w:rPr>
              <w:t>Processor (CPU)</w:t>
            </w:r>
          </w:p>
        </w:tc>
        <w:tc>
          <w:tcPr>
            <w:tcW w:type="dxa" w:w="2340"/>
            <w:shd w:fill="FFFFFF"/>
            <w:tcMar>
              <w:top w:w="100" w:type="dxa"/>
              <w:bottom w:w="100" w:type="dxa"/>
              <w:left w:w="120" w:type="dxa"/>
              <w:right w:w="120" w:type="dxa"/>
            </w:tcMar>
          </w:tcPr>
          <w:p>
            <w:pPr>
              <w:jc w:val="left"/>
            </w:pPr>
            <w:r>
              <w:rPr>
                <w:color w:val="0F172A"/>
                <w:sz w:val="18"/>
              </w:rPr>
              <w:t>Intel Core i3 / AMD Ryzen 3 (Quad-Core, 2.0 GHz)</w:t>
            </w:r>
          </w:p>
        </w:tc>
        <w:tc>
          <w:tcPr>
            <w:tcW w:type="dxa" w:w="2340"/>
            <w:shd w:fill="FFFFFF"/>
            <w:tcMar>
              <w:top w:w="100" w:type="dxa"/>
              <w:bottom w:w="100" w:type="dxa"/>
              <w:left w:w="120" w:type="dxa"/>
              <w:right w:w="120" w:type="dxa"/>
            </w:tcMar>
          </w:tcPr>
          <w:p>
            <w:pPr>
              <w:jc w:val="left"/>
            </w:pPr>
            <w:r>
              <w:rPr>
                <w:color w:val="0F172A"/>
                <w:sz w:val="18"/>
              </w:rPr>
              <w:t>Intel Core i7 / AMD Ryzen 7 (8 Cores, 16 Threads, 3.2 GHz or higher)</w:t>
            </w:r>
          </w:p>
        </w:tc>
        <w:tc>
          <w:tcPr>
            <w:tcW w:type="dxa" w:w="2340"/>
            <w:shd w:fill="FFFFFF"/>
            <w:tcMar>
              <w:top w:w="100" w:type="dxa"/>
              <w:bottom w:w="100" w:type="dxa"/>
              <w:left w:w="120" w:type="dxa"/>
              <w:right w:w="120" w:type="dxa"/>
            </w:tcMar>
          </w:tcPr>
          <w:p>
            <w:pPr>
              <w:jc w:val="left"/>
            </w:pPr>
            <w:r>
              <w:rPr>
                <w:color w:val="0F172A"/>
                <w:sz w:val="18"/>
              </w:rPr>
              <w:t>Accelerates L-BFGS-B log-likelihood optimization and multi-restart kernel fitting.</w:t>
            </w:r>
          </w:p>
        </w:tc>
      </w:tr>
      <w:tr>
        <w:tc>
          <w:tcPr>
            <w:tcW w:type="dxa" w:w="2340"/>
            <w:shd w:fill="F8FAFC"/>
            <w:tcMar>
              <w:top w:w="100" w:type="dxa"/>
              <w:bottom w:w="100" w:type="dxa"/>
              <w:left w:w="120" w:type="dxa"/>
              <w:right w:w="120" w:type="dxa"/>
            </w:tcMar>
          </w:tcPr>
          <w:p>
            <w:pPr>
              <w:jc w:val="center"/>
            </w:pPr>
            <w:r>
              <w:rPr>
                <w:color w:val="0F172A"/>
                <w:sz w:val="18"/>
              </w:rPr>
              <w:t>System Memory (RAM)</w:t>
            </w:r>
          </w:p>
        </w:tc>
        <w:tc>
          <w:tcPr>
            <w:tcW w:type="dxa" w:w="2340"/>
            <w:shd w:fill="F8FAFC"/>
            <w:tcMar>
              <w:top w:w="100" w:type="dxa"/>
              <w:bottom w:w="100" w:type="dxa"/>
              <w:left w:w="120" w:type="dxa"/>
              <w:right w:w="120" w:type="dxa"/>
            </w:tcMar>
          </w:tcPr>
          <w:p>
            <w:pPr>
              <w:jc w:val="left"/>
            </w:pPr>
            <w:r>
              <w:rPr>
                <w:color w:val="0F172A"/>
                <w:sz w:val="18"/>
              </w:rPr>
              <w:t>8 GB DDR4</w:t>
            </w:r>
          </w:p>
        </w:tc>
        <w:tc>
          <w:tcPr>
            <w:tcW w:type="dxa" w:w="2340"/>
            <w:shd w:fill="F8FAFC"/>
            <w:tcMar>
              <w:top w:w="100" w:type="dxa"/>
              <w:bottom w:w="100" w:type="dxa"/>
              <w:left w:w="120" w:type="dxa"/>
              <w:right w:w="120" w:type="dxa"/>
            </w:tcMar>
          </w:tcPr>
          <w:p>
            <w:pPr>
              <w:jc w:val="left"/>
            </w:pPr>
            <w:r>
              <w:rPr>
                <w:color w:val="0F172A"/>
                <w:sz w:val="18"/>
              </w:rPr>
              <w:t>16 GB DDR4 / DDR5</w:t>
            </w:r>
          </w:p>
        </w:tc>
        <w:tc>
          <w:tcPr>
            <w:tcW w:type="dxa" w:w="2340"/>
            <w:shd w:fill="F8FAFC"/>
            <w:tcMar>
              <w:top w:w="100" w:type="dxa"/>
              <w:bottom w:w="100" w:type="dxa"/>
              <w:left w:w="120" w:type="dxa"/>
              <w:right w:w="120" w:type="dxa"/>
            </w:tcMar>
          </w:tcPr>
          <w:p>
            <w:pPr>
              <w:jc w:val="left"/>
            </w:pPr>
            <w:r>
              <w:rPr>
                <w:color w:val="0F172A"/>
                <w:sz w:val="18"/>
              </w:rPr>
              <w:t>Houses historical time series, covariate matrices, covariance arrays, and serialized model caches.</w:t>
            </w:r>
          </w:p>
        </w:tc>
      </w:tr>
      <w:tr>
        <w:tc>
          <w:tcPr>
            <w:tcW w:type="dxa" w:w="2340"/>
            <w:shd w:fill="FFFFFF"/>
            <w:tcMar>
              <w:top w:w="100" w:type="dxa"/>
              <w:bottom w:w="100" w:type="dxa"/>
              <w:left w:w="120" w:type="dxa"/>
              <w:right w:w="120" w:type="dxa"/>
            </w:tcMar>
          </w:tcPr>
          <w:p>
            <w:pPr>
              <w:jc w:val="center"/>
            </w:pPr>
            <w:r>
              <w:rPr>
                <w:color w:val="0F172A"/>
                <w:sz w:val="18"/>
              </w:rPr>
              <w:t>Secondary Storage</w:t>
            </w:r>
          </w:p>
        </w:tc>
        <w:tc>
          <w:tcPr>
            <w:tcW w:type="dxa" w:w="2340"/>
            <w:shd w:fill="FFFFFF"/>
            <w:tcMar>
              <w:top w:w="100" w:type="dxa"/>
              <w:bottom w:w="100" w:type="dxa"/>
              <w:left w:w="120" w:type="dxa"/>
              <w:right w:w="120" w:type="dxa"/>
            </w:tcMar>
          </w:tcPr>
          <w:p>
            <w:pPr>
              <w:jc w:val="left"/>
            </w:pPr>
            <w:r>
              <w:rPr>
                <w:color w:val="0F172A"/>
                <w:sz w:val="18"/>
              </w:rPr>
              <w:t>256 GB Solid State Drive (SSD)</w:t>
            </w:r>
          </w:p>
        </w:tc>
        <w:tc>
          <w:tcPr>
            <w:tcW w:type="dxa" w:w="2340"/>
            <w:shd w:fill="FFFFFF"/>
            <w:tcMar>
              <w:top w:w="100" w:type="dxa"/>
              <w:bottom w:w="100" w:type="dxa"/>
              <w:left w:w="120" w:type="dxa"/>
              <w:right w:w="120" w:type="dxa"/>
            </w:tcMar>
          </w:tcPr>
          <w:p>
            <w:pPr>
              <w:jc w:val="left"/>
            </w:pPr>
            <w:r>
              <w:rPr>
                <w:color w:val="0F172A"/>
                <w:sz w:val="18"/>
              </w:rPr>
              <w:t>512 GB NVMe M.2 SSD (Read/Write ≥ 3000 MB/s)</w:t>
            </w:r>
          </w:p>
        </w:tc>
        <w:tc>
          <w:tcPr>
            <w:tcW w:type="dxa" w:w="2340"/>
            <w:shd w:fill="FFFFFF"/>
            <w:tcMar>
              <w:top w:w="100" w:type="dxa"/>
              <w:bottom w:w="100" w:type="dxa"/>
              <w:left w:w="120" w:type="dxa"/>
              <w:right w:w="120" w:type="dxa"/>
            </w:tcMar>
          </w:tcPr>
          <w:p>
            <w:pPr>
              <w:jc w:val="left"/>
            </w:pPr>
            <w:r>
              <w:rPr>
                <w:color w:val="0F172A"/>
                <w:sz w:val="18"/>
              </w:rPr>
              <w:t>Provides rapid I/O for empirical dataset loading, model serialization, and log persistence.</w:t>
            </w:r>
          </w:p>
        </w:tc>
      </w:tr>
      <w:tr>
        <w:tc>
          <w:tcPr>
            <w:tcW w:type="dxa" w:w="2340"/>
            <w:shd w:fill="F8FAFC"/>
            <w:tcMar>
              <w:top w:w="100" w:type="dxa"/>
              <w:bottom w:w="100" w:type="dxa"/>
              <w:left w:w="120" w:type="dxa"/>
              <w:right w:w="120" w:type="dxa"/>
            </w:tcMar>
          </w:tcPr>
          <w:p>
            <w:pPr>
              <w:jc w:val="center"/>
            </w:pPr>
            <w:r>
              <w:rPr>
                <w:color w:val="0F172A"/>
                <w:sz w:val="18"/>
              </w:rPr>
              <w:t>Display / Monitor</w:t>
            </w:r>
          </w:p>
        </w:tc>
        <w:tc>
          <w:tcPr>
            <w:tcW w:type="dxa" w:w="2340"/>
            <w:shd w:fill="F8FAFC"/>
            <w:tcMar>
              <w:top w:w="100" w:type="dxa"/>
              <w:bottom w:w="100" w:type="dxa"/>
              <w:left w:w="120" w:type="dxa"/>
              <w:right w:w="120" w:type="dxa"/>
            </w:tcMar>
          </w:tcPr>
          <w:p>
            <w:pPr>
              <w:jc w:val="left"/>
            </w:pPr>
            <w:r>
              <w:rPr>
                <w:color w:val="0F172A"/>
                <w:sz w:val="18"/>
              </w:rPr>
              <w:t>14-inch HD Display (1366 x 768 resolution)</w:t>
            </w:r>
          </w:p>
        </w:tc>
        <w:tc>
          <w:tcPr>
            <w:tcW w:type="dxa" w:w="2340"/>
            <w:shd w:fill="F8FAFC"/>
            <w:tcMar>
              <w:top w:w="100" w:type="dxa"/>
              <w:bottom w:w="100" w:type="dxa"/>
              <w:left w:w="120" w:type="dxa"/>
              <w:right w:w="120" w:type="dxa"/>
            </w:tcMar>
          </w:tcPr>
          <w:p>
            <w:pPr>
              <w:jc w:val="left"/>
            </w:pPr>
            <w:r>
              <w:rPr>
                <w:color w:val="0F172A"/>
                <w:sz w:val="18"/>
              </w:rPr>
              <w:t>15.6-inch Full HD Display (1920 x 1080 IPS or higher)</w:t>
            </w:r>
          </w:p>
        </w:tc>
        <w:tc>
          <w:tcPr>
            <w:tcW w:type="dxa" w:w="2340"/>
            <w:shd w:fill="F8FAFC"/>
            <w:tcMar>
              <w:top w:w="100" w:type="dxa"/>
              <w:bottom w:w="100" w:type="dxa"/>
              <w:left w:w="120" w:type="dxa"/>
              <w:right w:w="120" w:type="dxa"/>
            </w:tcMar>
          </w:tcPr>
          <w:p>
            <w:pPr>
              <w:jc w:val="left"/>
            </w:pPr>
            <w:r>
              <w:rPr>
                <w:color w:val="0F172A"/>
                <w:sz w:val="18"/>
              </w:rPr>
              <w:t>Ensures high clarity for multi-panel dashboards, confusion matrices, and wide time-series charts.</w:t>
            </w:r>
          </w:p>
        </w:tc>
      </w:tr>
      <w:tr>
        <w:tc>
          <w:tcPr>
            <w:tcW w:type="dxa" w:w="2340"/>
            <w:shd w:fill="FFFFFF"/>
            <w:tcMar>
              <w:top w:w="100" w:type="dxa"/>
              <w:bottom w:w="100" w:type="dxa"/>
              <w:left w:w="120" w:type="dxa"/>
              <w:right w:w="120" w:type="dxa"/>
            </w:tcMar>
          </w:tcPr>
          <w:p>
            <w:pPr>
              <w:jc w:val="center"/>
            </w:pPr>
            <w:r>
              <w:rPr>
                <w:color w:val="0F172A"/>
                <w:sz w:val="18"/>
              </w:rPr>
              <w:t>Input Peripherals</w:t>
            </w:r>
          </w:p>
        </w:tc>
        <w:tc>
          <w:tcPr>
            <w:tcW w:type="dxa" w:w="2340"/>
            <w:shd w:fill="FFFFFF"/>
            <w:tcMar>
              <w:top w:w="100" w:type="dxa"/>
              <w:bottom w:w="100" w:type="dxa"/>
              <w:left w:w="120" w:type="dxa"/>
              <w:right w:w="120" w:type="dxa"/>
            </w:tcMar>
          </w:tcPr>
          <w:p>
            <w:pPr>
              <w:jc w:val="left"/>
            </w:pPr>
            <w:r>
              <w:rPr>
                <w:color w:val="0F172A"/>
                <w:sz w:val="18"/>
              </w:rPr>
              <w:t>Standard QWERTY Keyboard and Mouse/Touchpad</w:t>
            </w:r>
          </w:p>
        </w:tc>
        <w:tc>
          <w:tcPr>
            <w:tcW w:type="dxa" w:w="2340"/>
            <w:shd w:fill="FFFFFF"/>
            <w:tcMar>
              <w:top w:w="100" w:type="dxa"/>
              <w:bottom w:w="100" w:type="dxa"/>
              <w:left w:w="120" w:type="dxa"/>
              <w:right w:w="120" w:type="dxa"/>
            </w:tcMar>
          </w:tcPr>
          <w:p>
            <w:pPr>
              <w:jc w:val="left"/>
            </w:pPr>
            <w:r>
              <w:rPr>
                <w:color w:val="0F172A"/>
                <w:sz w:val="18"/>
              </w:rPr>
              <w:t>Standard QWERTY Keyboard and High-Precision Optical Mouse</w:t>
            </w:r>
          </w:p>
        </w:tc>
        <w:tc>
          <w:tcPr>
            <w:tcW w:type="dxa" w:w="2340"/>
            <w:shd w:fill="FFFFFF"/>
            <w:tcMar>
              <w:top w:w="100" w:type="dxa"/>
              <w:bottom w:w="100" w:type="dxa"/>
              <w:left w:w="120" w:type="dxa"/>
              <w:right w:w="120" w:type="dxa"/>
            </w:tcMar>
          </w:tcPr>
          <w:p>
            <w:pPr>
              <w:jc w:val="left"/>
            </w:pPr>
            <w:r>
              <w:rPr>
                <w:color w:val="0F172A"/>
                <w:sz w:val="18"/>
              </w:rPr>
              <w:t>Standard data entry, script execution, and interactive dashboard parameter tuning.</w:t>
            </w:r>
          </w:p>
        </w:tc>
      </w:tr>
      <w:tr>
        <w:tc>
          <w:tcPr>
            <w:tcW w:type="dxa" w:w="2340"/>
            <w:shd w:fill="F8FAFC"/>
            <w:tcMar>
              <w:top w:w="100" w:type="dxa"/>
              <w:bottom w:w="100" w:type="dxa"/>
              <w:left w:w="120" w:type="dxa"/>
              <w:right w:w="120" w:type="dxa"/>
            </w:tcMar>
          </w:tcPr>
          <w:p>
            <w:pPr>
              <w:jc w:val="center"/>
            </w:pPr>
            <w:r>
              <w:rPr>
                <w:color w:val="0F172A"/>
                <w:sz w:val="18"/>
              </w:rPr>
              <w:t>Network Interface</w:t>
            </w:r>
          </w:p>
        </w:tc>
        <w:tc>
          <w:tcPr>
            <w:tcW w:type="dxa" w:w="2340"/>
            <w:shd w:fill="F8FAFC"/>
            <w:tcMar>
              <w:top w:w="100" w:type="dxa"/>
              <w:bottom w:w="100" w:type="dxa"/>
              <w:left w:w="120" w:type="dxa"/>
              <w:right w:w="120" w:type="dxa"/>
            </w:tcMar>
          </w:tcPr>
          <w:p>
            <w:pPr>
              <w:jc w:val="left"/>
            </w:pPr>
            <w:r>
              <w:rPr>
                <w:color w:val="0F172A"/>
                <w:sz w:val="18"/>
              </w:rPr>
              <w:t>10/100 Mbps Ethernet or 802.11n Wi-Fi</w:t>
            </w:r>
          </w:p>
        </w:tc>
        <w:tc>
          <w:tcPr>
            <w:tcW w:type="dxa" w:w="2340"/>
            <w:shd w:fill="F8FAFC"/>
            <w:tcMar>
              <w:top w:w="100" w:type="dxa"/>
              <w:bottom w:w="100" w:type="dxa"/>
              <w:left w:w="120" w:type="dxa"/>
              <w:right w:w="120" w:type="dxa"/>
            </w:tcMar>
          </w:tcPr>
          <w:p>
            <w:pPr>
              <w:jc w:val="left"/>
            </w:pPr>
            <w:r>
              <w:rPr>
                <w:color w:val="0F172A"/>
                <w:sz w:val="18"/>
              </w:rPr>
              <w:t>Gigabit Ethernet / Wi-Fi 6 (802.11ax)</w:t>
            </w:r>
          </w:p>
        </w:tc>
        <w:tc>
          <w:tcPr>
            <w:tcW w:type="dxa" w:w="2340"/>
            <w:shd w:fill="F8FAFC"/>
            <w:tcMar>
              <w:top w:w="100" w:type="dxa"/>
              <w:bottom w:w="100" w:type="dxa"/>
              <w:left w:w="120" w:type="dxa"/>
              <w:right w:w="120" w:type="dxa"/>
            </w:tcMar>
          </w:tcPr>
          <w:p>
            <w:pPr>
              <w:jc w:val="left"/>
            </w:pPr>
            <w:r>
              <w:rPr>
                <w:color w:val="0F172A"/>
                <w:sz w:val="18"/>
              </w:rPr>
              <w:t>Facilitates live meteorological data synchronization, satellite updates, and intranet client serving.</w:t>
            </w:r>
          </w:p>
        </w:tc>
      </w:tr>
    </w:tbl>
    <w:p>
      <w:pPr>
        <w:spacing w:after="160"/>
      </w:pPr>
    </w:p>
    <w:p>
      <w:pPr>
        <w:pStyle w:val="Heading2"/>
      </w:pPr>
      <w:r>
        <w:t>4.4.2 Software Specifications</w:t>
      </w:r>
    </w:p>
    <w:p>
      <w:r>
        <w:t>The software architecture leverages the modern open-source Python scientific computing and machine learning ecosystem, ensuring cross-platform reproducibility, strict mathematical typing, and rapid client interactivity.</w:t>
      </w:r>
    </w:p>
    <w:p>
      <w:pPr>
        <w:spacing w:after="80"/>
      </w:pPr>
      <w:r>
        <w:rPr>
          <w:b/>
        </w:rPr>
        <w:t>Table 4.4: Software Specifications and Library Dependency Stack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Mar>
              <w:top w:w="140" w:type="dxa"/>
              <w:bottom w:w="140" w:type="dxa"/>
              <w:left w:w="140" w:type="dxa"/>
              <w:right w:w="140" w:type="dxa"/>
            </w:tcMar>
          </w:tcPr>
          <w:p>
            <w:pPr>
              <w:jc w:val="center"/>
            </w:pPr>
            <w:r>
              <w:rPr>
                <w:b/>
                <w:color w:val="FFFFFF"/>
                <w:sz w:val="19"/>
              </w:rPr>
              <w:t>Software Layer / Module</w:t>
            </w:r>
          </w:p>
        </w:tc>
        <w:tc>
          <w:tcPr>
            <w:tcW w:type="dxa" w:w="2340"/>
            <w:shd w:fill="0F172A"/>
            <w:tcMar>
              <w:top w:w="140" w:type="dxa"/>
              <w:bottom w:w="140" w:type="dxa"/>
              <w:left w:w="140" w:type="dxa"/>
              <w:right w:w="140" w:type="dxa"/>
            </w:tcMar>
          </w:tcPr>
          <w:p>
            <w:pPr>
              <w:jc w:val="center"/>
            </w:pPr>
            <w:r>
              <w:rPr>
                <w:b/>
                <w:color w:val="FFFFFF"/>
                <w:sz w:val="19"/>
              </w:rPr>
              <w:t>Minimum Software Requirement</w:t>
            </w:r>
          </w:p>
        </w:tc>
        <w:tc>
          <w:tcPr>
            <w:tcW w:type="dxa" w:w="2340"/>
            <w:shd w:fill="0F172A"/>
            <w:tcMar>
              <w:top w:w="140" w:type="dxa"/>
              <w:bottom w:w="140" w:type="dxa"/>
              <w:left w:w="140" w:type="dxa"/>
              <w:right w:w="140" w:type="dxa"/>
            </w:tcMar>
          </w:tcPr>
          <w:p>
            <w:pPr>
              <w:jc w:val="center"/>
            </w:pPr>
            <w:r>
              <w:rPr>
                <w:b/>
                <w:color w:val="FFFFFF"/>
                <w:sz w:val="19"/>
              </w:rPr>
              <w:t>Version Deployed / Verified</w:t>
            </w:r>
          </w:p>
        </w:tc>
        <w:tc>
          <w:tcPr>
            <w:tcW w:type="dxa" w:w="2340"/>
            <w:shd w:fill="0F172A"/>
            <w:tcMar>
              <w:top w:w="140" w:type="dxa"/>
              <w:bottom w:w="140" w:type="dxa"/>
              <w:left w:w="140" w:type="dxa"/>
              <w:right w:w="140" w:type="dxa"/>
            </w:tcMar>
          </w:tcPr>
          <w:p>
            <w:pPr>
              <w:jc w:val="center"/>
            </w:pPr>
            <w:r>
              <w:rPr>
                <w:b/>
                <w:color w:val="FFFFFF"/>
                <w:sz w:val="19"/>
              </w:rPr>
              <w:t>Role &amp; Functional Responsibility</w:t>
            </w:r>
          </w:p>
        </w:tc>
      </w:tr>
      <w:tr>
        <w:tc>
          <w:tcPr>
            <w:tcW w:type="dxa" w:w="2340"/>
            <w:shd w:fill="FFFFFF"/>
            <w:tcMar>
              <w:top w:w="100" w:type="dxa"/>
              <w:bottom w:w="100" w:type="dxa"/>
              <w:left w:w="120" w:type="dxa"/>
              <w:right w:w="120" w:type="dxa"/>
            </w:tcMar>
          </w:tcPr>
          <w:p>
            <w:pPr>
              <w:jc w:val="center"/>
            </w:pPr>
            <w:r>
              <w:rPr>
                <w:color w:val="0F172A"/>
                <w:sz w:val="18"/>
              </w:rPr>
              <w:t>Operating System</w:t>
            </w:r>
          </w:p>
        </w:tc>
        <w:tc>
          <w:tcPr>
            <w:tcW w:type="dxa" w:w="2340"/>
            <w:shd w:fill="FFFFFF"/>
            <w:tcMar>
              <w:top w:w="100" w:type="dxa"/>
              <w:bottom w:w="100" w:type="dxa"/>
              <w:left w:w="120" w:type="dxa"/>
              <w:right w:w="120" w:type="dxa"/>
            </w:tcMar>
          </w:tcPr>
          <w:p>
            <w:pPr>
              <w:jc w:val="left"/>
            </w:pPr>
            <w:r>
              <w:rPr>
                <w:color w:val="0F172A"/>
                <w:sz w:val="18"/>
              </w:rPr>
              <w:t>Microsoft Windows 10 (64-bit) / Ubuntu 20.04 LTS</w:t>
            </w:r>
          </w:p>
        </w:tc>
        <w:tc>
          <w:tcPr>
            <w:tcW w:type="dxa" w:w="2340"/>
            <w:shd w:fill="FFFFFF"/>
            <w:tcMar>
              <w:top w:w="100" w:type="dxa"/>
              <w:bottom w:w="100" w:type="dxa"/>
              <w:left w:w="120" w:type="dxa"/>
              <w:right w:w="120" w:type="dxa"/>
            </w:tcMar>
          </w:tcPr>
          <w:p>
            <w:pPr>
              <w:jc w:val="center"/>
            </w:pPr>
            <w:r>
              <w:rPr>
                <w:color w:val="0F172A"/>
                <w:sz w:val="18"/>
              </w:rPr>
              <w:t>Microsoft Windows 11 Pro (64-bit)</w:t>
            </w:r>
          </w:p>
        </w:tc>
        <w:tc>
          <w:tcPr>
            <w:tcW w:type="dxa" w:w="2340"/>
            <w:shd w:fill="FFFFFF"/>
            <w:tcMar>
              <w:top w:w="100" w:type="dxa"/>
              <w:bottom w:w="100" w:type="dxa"/>
              <w:left w:w="120" w:type="dxa"/>
              <w:right w:w="120" w:type="dxa"/>
            </w:tcMar>
          </w:tcPr>
          <w:p>
            <w:pPr>
              <w:jc w:val="left"/>
            </w:pPr>
            <w:r>
              <w:rPr>
                <w:color w:val="0F172A"/>
                <w:sz w:val="18"/>
              </w:rPr>
              <w:t>Host environment providing kernel threading and 64-bit memory addressing.</w:t>
            </w:r>
          </w:p>
        </w:tc>
      </w:tr>
      <w:tr>
        <w:tc>
          <w:tcPr>
            <w:tcW w:type="dxa" w:w="2340"/>
            <w:shd w:fill="F8FAFC"/>
            <w:tcMar>
              <w:top w:w="100" w:type="dxa"/>
              <w:bottom w:w="100" w:type="dxa"/>
              <w:left w:w="120" w:type="dxa"/>
              <w:right w:w="120" w:type="dxa"/>
            </w:tcMar>
          </w:tcPr>
          <w:p>
            <w:pPr>
              <w:jc w:val="center"/>
            </w:pPr>
            <w:r>
              <w:rPr>
                <w:color w:val="0F172A"/>
                <w:sz w:val="18"/>
              </w:rPr>
              <w:t>Programming Language</w:t>
            </w:r>
          </w:p>
        </w:tc>
        <w:tc>
          <w:tcPr>
            <w:tcW w:type="dxa" w:w="2340"/>
            <w:shd w:fill="F8FAFC"/>
            <w:tcMar>
              <w:top w:w="100" w:type="dxa"/>
              <w:bottom w:w="100" w:type="dxa"/>
              <w:left w:w="120" w:type="dxa"/>
              <w:right w:w="120" w:type="dxa"/>
            </w:tcMar>
          </w:tcPr>
          <w:p>
            <w:pPr>
              <w:jc w:val="left"/>
            </w:pPr>
            <w:r>
              <w:rPr>
                <w:color w:val="0F172A"/>
                <w:sz w:val="18"/>
              </w:rPr>
              <w:t>Python 3.10 (64-bit)</w:t>
            </w:r>
          </w:p>
        </w:tc>
        <w:tc>
          <w:tcPr>
            <w:tcW w:type="dxa" w:w="2340"/>
            <w:shd w:fill="F8FAFC"/>
            <w:tcMar>
              <w:top w:w="100" w:type="dxa"/>
              <w:bottom w:w="100" w:type="dxa"/>
              <w:left w:w="120" w:type="dxa"/>
              <w:right w:w="120" w:type="dxa"/>
            </w:tcMar>
          </w:tcPr>
          <w:p>
            <w:pPr>
              <w:jc w:val="center"/>
            </w:pPr>
            <w:r>
              <w:rPr>
                <w:color w:val="0F172A"/>
                <w:sz w:val="18"/>
              </w:rPr>
              <w:t>Python 3.14 / Python 3.11 (64-bit)</w:t>
            </w:r>
          </w:p>
        </w:tc>
        <w:tc>
          <w:tcPr>
            <w:tcW w:type="dxa" w:w="2340"/>
            <w:shd w:fill="F8FAFC"/>
            <w:tcMar>
              <w:top w:w="100" w:type="dxa"/>
              <w:bottom w:w="100" w:type="dxa"/>
              <w:left w:w="120" w:type="dxa"/>
              <w:right w:w="120" w:type="dxa"/>
            </w:tcMar>
          </w:tcPr>
          <w:p>
            <w:pPr>
              <w:jc w:val="left"/>
            </w:pPr>
            <w:r>
              <w:rPr>
                <w:color w:val="0F172A"/>
                <w:sz w:val="18"/>
              </w:rPr>
              <w:t>Core execution runtime for feature preprocessing, mathematical modeling, and web serving.</w:t>
            </w:r>
          </w:p>
        </w:tc>
      </w:tr>
      <w:tr>
        <w:tc>
          <w:tcPr>
            <w:tcW w:type="dxa" w:w="2340"/>
            <w:shd w:fill="FFFFFF"/>
            <w:tcMar>
              <w:top w:w="100" w:type="dxa"/>
              <w:bottom w:w="100" w:type="dxa"/>
              <w:left w:w="120" w:type="dxa"/>
              <w:right w:w="120" w:type="dxa"/>
            </w:tcMar>
          </w:tcPr>
          <w:p>
            <w:pPr>
              <w:jc w:val="center"/>
            </w:pPr>
            <w:r>
              <w:rPr>
                <w:color w:val="0F172A"/>
                <w:sz w:val="18"/>
              </w:rPr>
              <w:t>Machine Learning Library</w:t>
            </w:r>
          </w:p>
        </w:tc>
        <w:tc>
          <w:tcPr>
            <w:tcW w:type="dxa" w:w="2340"/>
            <w:shd w:fill="FFFFFF"/>
            <w:tcMar>
              <w:top w:w="100" w:type="dxa"/>
              <w:bottom w:w="100" w:type="dxa"/>
              <w:left w:w="120" w:type="dxa"/>
              <w:right w:w="120" w:type="dxa"/>
            </w:tcMar>
          </w:tcPr>
          <w:p>
            <w:pPr>
              <w:jc w:val="left"/>
            </w:pPr>
            <w:r>
              <w:rPr>
                <w:color w:val="0F172A"/>
                <w:sz w:val="18"/>
              </w:rPr>
              <w:t>Scikit-Learn 1.3+</w:t>
            </w:r>
          </w:p>
        </w:tc>
        <w:tc>
          <w:tcPr>
            <w:tcW w:type="dxa" w:w="2340"/>
            <w:shd w:fill="FFFFFF"/>
            <w:tcMar>
              <w:top w:w="100" w:type="dxa"/>
              <w:bottom w:w="100" w:type="dxa"/>
              <w:left w:w="120" w:type="dxa"/>
              <w:right w:w="120" w:type="dxa"/>
            </w:tcMar>
          </w:tcPr>
          <w:p>
            <w:pPr>
              <w:jc w:val="center"/>
            </w:pPr>
            <w:r>
              <w:rPr>
                <w:color w:val="0F172A"/>
                <w:sz w:val="18"/>
              </w:rPr>
              <w:t>Scikit-Learn 1.6+</w:t>
            </w:r>
          </w:p>
        </w:tc>
        <w:tc>
          <w:tcPr>
            <w:tcW w:type="dxa" w:w="2340"/>
            <w:shd w:fill="FFFFFF"/>
            <w:tcMar>
              <w:top w:w="100" w:type="dxa"/>
              <w:bottom w:w="100" w:type="dxa"/>
              <w:left w:w="120" w:type="dxa"/>
              <w:right w:w="120" w:type="dxa"/>
            </w:tcMar>
          </w:tcPr>
          <w:p>
            <w:pPr>
              <w:jc w:val="left"/>
            </w:pPr>
            <w:r>
              <w:rPr>
                <w:color w:val="0F172A"/>
                <w:sz w:val="18"/>
              </w:rPr>
              <w:t>Implements GaussianProcessRegressor, composite kernels (DotProduct, Matern, WhiteKernel), and metrics.</w:t>
            </w:r>
          </w:p>
        </w:tc>
      </w:tr>
      <w:tr>
        <w:tc>
          <w:tcPr>
            <w:tcW w:type="dxa" w:w="2340"/>
            <w:shd w:fill="F8FAFC"/>
            <w:tcMar>
              <w:top w:w="100" w:type="dxa"/>
              <w:bottom w:w="100" w:type="dxa"/>
              <w:left w:w="120" w:type="dxa"/>
              <w:right w:w="120" w:type="dxa"/>
            </w:tcMar>
          </w:tcPr>
          <w:p>
            <w:pPr>
              <w:jc w:val="center"/>
            </w:pPr>
            <w:r>
              <w:rPr>
                <w:color w:val="0F172A"/>
                <w:sz w:val="18"/>
              </w:rPr>
              <w:t>Scientific Computing</w:t>
            </w:r>
          </w:p>
        </w:tc>
        <w:tc>
          <w:tcPr>
            <w:tcW w:type="dxa" w:w="2340"/>
            <w:shd w:fill="F8FAFC"/>
            <w:tcMar>
              <w:top w:w="100" w:type="dxa"/>
              <w:bottom w:w="100" w:type="dxa"/>
              <w:left w:w="120" w:type="dxa"/>
              <w:right w:w="120" w:type="dxa"/>
            </w:tcMar>
          </w:tcPr>
          <w:p>
            <w:pPr>
              <w:jc w:val="left"/>
            </w:pPr>
            <w:r>
              <w:rPr>
                <w:color w:val="0F172A"/>
                <w:sz w:val="18"/>
              </w:rPr>
              <w:t>NumPy 1.24+ / SciPy 1.10+</w:t>
            </w:r>
          </w:p>
        </w:tc>
        <w:tc>
          <w:tcPr>
            <w:tcW w:type="dxa" w:w="2340"/>
            <w:shd w:fill="F8FAFC"/>
            <w:tcMar>
              <w:top w:w="100" w:type="dxa"/>
              <w:bottom w:w="100" w:type="dxa"/>
              <w:left w:w="120" w:type="dxa"/>
              <w:right w:w="120" w:type="dxa"/>
            </w:tcMar>
          </w:tcPr>
          <w:p>
            <w:pPr>
              <w:jc w:val="center"/>
            </w:pPr>
            <w:r>
              <w:rPr>
                <w:color w:val="0F172A"/>
                <w:sz w:val="18"/>
              </w:rPr>
              <w:t>NumPy 2.x / SciPy 1.14+</w:t>
            </w:r>
          </w:p>
        </w:tc>
        <w:tc>
          <w:tcPr>
            <w:tcW w:type="dxa" w:w="2340"/>
            <w:shd w:fill="F8FAFC"/>
            <w:tcMar>
              <w:top w:w="100" w:type="dxa"/>
              <w:bottom w:w="100" w:type="dxa"/>
              <w:left w:w="120" w:type="dxa"/>
              <w:right w:w="120" w:type="dxa"/>
            </w:tcMar>
          </w:tcPr>
          <w:p>
            <w:pPr>
              <w:jc w:val="left"/>
            </w:pPr>
            <w:r>
              <w:rPr>
                <w:color w:val="0F172A"/>
                <w:sz w:val="18"/>
              </w:rPr>
              <w:t>High-performance N-dimensional array processing, matrix algebra, and trigonometric encodings.</w:t>
            </w:r>
          </w:p>
        </w:tc>
      </w:tr>
      <w:tr>
        <w:tc>
          <w:tcPr>
            <w:tcW w:type="dxa" w:w="2340"/>
            <w:shd w:fill="FFFFFF"/>
            <w:tcMar>
              <w:top w:w="100" w:type="dxa"/>
              <w:bottom w:w="100" w:type="dxa"/>
              <w:left w:w="120" w:type="dxa"/>
              <w:right w:w="120" w:type="dxa"/>
            </w:tcMar>
          </w:tcPr>
          <w:p>
            <w:pPr>
              <w:jc w:val="center"/>
            </w:pPr>
            <w:r>
              <w:rPr>
                <w:color w:val="0F172A"/>
                <w:sz w:val="18"/>
              </w:rPr>
              <w:t>Data Manipulation</w:t>
            </w:r>
          </w:p>
        </w:tc>
        <w:tc>
          <w:tcPr>
            <w:tcW w:type="dxa" w:w="2340"/>
            <w:shd w:fill="FFFFFF"/>
            <w:tcMar>
              <w:top w:w="100" w:type="dxa"/>
              <w:bottom w:w="100" w:type="dxa"/>
              <w:left w:w="120" w:type="dxa"/>
              <w:right w:w="120" w:type="dxa"/>
            </w:tcMar>
          </w:tcPr>
          <w:p>
            <w:pPr>
              <w:jc w:val="left"/>
            </w:pPr>
            <w:r>
              <w:rPr>
                <w:color w:val="0F172A"/>
                <w:sz w:val="18"/>
              </w:rPr>
              <w:t>Pandas 2.0+</w:t>
            </w:r>
          </w:p>
        </w:tc>
        <w:tc>
          <w:tcPr>
            <w:tcW w:type="dxa" w:w="2340"/>
            <w:shd w:fill="FFFFFF"/>
            <w:tcMar>
              <w:top w:w="100" w:type="dxa"/>
              <w:bottom w:w="100" w:type="dxa"/>
              <w:left w:w="120" w:type="dxa"/>
              <w:right w:w="120" w:type="dxa"/>
            </w:tcMar>
          </w:tcPr>
          <w:p>
            <w:pPr>
              <w:jc w:val="center"/>
            </w:pPr>
            <w:r>
              <w:rPr>
                <w:color w:val="0F172A"/>
                <w:sz w:val="18"/>
              </w:rPr>
              <w:t>Pandas 2.2+</w:t>
            </w:r>
          </w:p>
        </w:tc>
        <w:tc>
          <w:tcPr>
            <w:tcW w:type="dxa" w:w="2340"/>
            <w:shd w:fill="FFFFFF"/>
            <w:tcMar>
              <w:top w:w="100" w:type="dxa"/>
              <w:bottom w:w="100" w:type="dxa"/>
              <w:left w:w="120" w:type="dxa"/>
              <w:right w:w="120" w:type="dxa"/>
            </w:tcMar>
          </w:tcPr>
          <w:p>
            <w:pPr>
              <w:jc w:val="left"/>
            </w:pPr>
            <w:r>
              <w:rPr>
                <w:color w:val="0F172A"/>
                <w:sz w:val="18"/>
              </w:rPr>
              <w:t>Time-series indexing, CSV data ingestion, missing value imputation, and tabular reporting.</w:t>
            </w:r>
          </w:p>
        </w:tc>
      </w:tr>
      <w:tr>
        <w:tc>
          <w:tcPr>
            <w:tcW w:type="dxa" w:w="2340"/>
            <w:shd w:fill="F8FAFC"/>
            <w:tcMar>
              <w:top w:w="100" w:type="dxa"/>
              <w:bottom w:w="100" w:type="dxa"/>
              <w:left w:w="120" w:type="dxa"/>
              <w:right w:w="120" w:type="dxa"/>
            </w:tcMar>
          </w:tcPr>
          <w:p>
            <w:pPr>
              <w:jc w:val="center"/>
            </w:pPr>
            <w:r>
              <w:rPr>
                <w:color w:val="0F172A"/>
                <w:sz w:val="18"/>
              </w:rPr>
              <w:t>Model Persistence</w:t>
            </w:r>
          </w:p>
        </w:tc>
        <w:tc>
          <w:tcPr>
            <w:tcW w:type="dxa" w:w="2340"/>
            <w:shd w:fill="F8FAFC"/>
            <w:tcMar>
              <w:top w:w="100" w:type="dxa"/>
              <w:bottom w:w="100" w:type="dxa"/>
              <w:left w:w="120" w:type="dxa"/>
              <w:right w:w="120" w:type="dxa"/>
            </w:tcMar>
          </w:tcPr>
          <w:p>
            <w:pPr>
              <w:jc w:val="left"/>
            </w:pPr>
            <w:r>
              <w:rPr>
                <w:color w:val="0F172A"/>
                <w:sz w:val="18"/>
              </w:rPr>
              <w:t>Joblib 1.3+</w:t>
            </w:r>
          </w:p>
        </w:tc>
        <w:tc>
          <w:tcPr>
            <w:tcW w:type="dxa" w:w="2340"/>
            <w:shd w:fill="F8FAFC"/>
            <w:tcMar>
              <w:top w:w="100" w:type="dxa"/>
              <w:bottom w:w="100" w:type="dxa"/>
              <w:left w:w="120" w:type="dxa"/>
              <w:right w:w="120" w:type="dxa"/>
            </w:tcMar>
          </w:tcPr>
          <w:p>
            <w:pPr>
              <w:jc w:val="center"/>
            </w:pPr>
            <w:r>
              <w:rPr>
                <w:color w:val="0F172A"/>
                <w:sz w:val="18"/>
              </w:rPr>
              <w:t>Joblib 1.4+</w:t>
            </w:r>
          </w:p>
        </w:tc>
        <w:tc>
          <w:tcPr>
            <w:tcW w:type="dxa" w:w="2340"/>
            <w:shd w:fill="F8FAFC"/>
            <w:tcMar>
              <w:top w:w="100" w:type="dxa"/>
              <w:bottom w:w="100" w:type="dxa"/>
              <w:left w:w="120" w:type="dxa"/>
              <w:right w:w="120" w:type="dxa"/>
            </w:tcMar>
          </w:tcPr>
          <w:p>
            <w:pPr>
              <w:jc w:val="left"/>
            </w:pPr>
            <w:r>
              <w:rPr>
                <w:color w:val="0F172A"/>
                <w:sz w:val="18"/>
              </w:rPr>
              <w:t>Serialization and zero-latency disk loading of trained model weights and precomputed caches (gpr_waste_model.pkl).</w:t>
            </w:r>
          </w:p>
        </w:tc>
      </w:tr>
      <w:tr>
        <w:tc>
          <w:tcPr>
            <w:tcW w:type="dxa" w:w="2340"/>
            <w:shd w:fill="FFFFFF"/>
            <w:tcMar>
              <w:top w:w="100" w:type="dxa"/>
              <w:bottom w:w="100" w:type="dxa"/>
              <w:left w:w="120" w:type="dxa"/>
              <w:right w:w="120" w:type="dxa"/>
            </w:tcMar>
          </w:tcPr>
          <w:p>
            <w:pPr>
              <w:jc w:val="center"/>
            </w:pPr>
            <w:r>
              <w:rPr>
                <w:color w:val="0F172A"/>
                <w:sz w:val="18"/>
              </w:rPr>
              <w:t>Web Application Framework</w:t>
            </w:r>
          </w:p>
        </w:tc>
        <w:tc>
          <w:tcPr>
            <w:tcW w:type="dxa" w:w="2340"/>
            <w:shd w:fill="FFFFFF"/>
            <w:tcMar>
              <w:top w:w="100" w:type="dxa"/>
              <w:bottom w:w="100" w:type="dxa"/>
              <w:left w:w="120" w:type="dxa"/>
              <w:right w:w="120" w:type="dxa"/>
            </w:tcMar>
          </w:tcPr>
          <w:p>
            <w:pPr>
              <w:jc w:val="left"/>
            </w:pPr>
            <w:r>
              <w:rPr>
                <w:color w:val="0F172A"/>
                <w:sz w:val="18"/>
              </w:rPr>
              <w:t>Streamlit 1.30+</w:t>
            </w:r>
          </w:p>
        </w:tc>
        <w:tc>
          <w:tcPr>
            <w:tcW w:type="dxa" w:w="2340"/>
            <w:shd w:fill="FFFFFF"/>
            <w:tcMar>
              <w:top w:w="100" w:type="dxa"/>
              <w:bottom w:w="100" w:type="dxa"/>
              <w:left w:w="120" w:type="dxa"/>
              <w:right w:w="120" w:type="dxa"/>
            </w:tcMar>
          </w:tcPr>
          <w:p>
            <w:pPr>
              <w:jc w:val="center"/>
            </w:pPr>
            <w:r>
              <w:rPr>
                <w:color w:val="0F172A"/>
                <w:sz w:val="18"/>
              </w:rPr>
              <w:t>Streamlit 1.42+</w:t>
            </w:r>
          </w:p>
        </w:tc>
        <w:tc>
          <w:tcPr>
            <w:tcW w:type="dxa" w:w="2340"/>
            <w:shd w:fill="FFFFFF"/>
            <w:tcMar>
              <w:top w:w="100" w:type="dxa"/>
              <w:bottom w:w="100" w:type="dxa"/>
              <w:left w:w="120" w:type="dxa"/>
              <w:right w:w="120" w:type="dxa"/>
            </w:tcMar>
          </w:tcPr>
          <w:p>
            <w:pPr>
              <w:jc w:val="left"/>
            </w:pPr>
            <w:r>
              <w:rPr>
                <w:color w:val="0F172A"/>
                <w:sz w:val="18"/>
              </w:rPr>
              <w:t>Renders the interactive web application, navigation tabs, slider controls, and CSV export engines.</w:t>
            </w:r>
          </w:p>
        </w:tc>
      </w:tr>
      <w:tr>
        <w:tc>
          <w:tcPr>
            <w:tcW w:type="dxa" w:w="2340"/>
            <w:shd w:fill="F8FAFC"/>
            <w:tcMar>
              <w:top w:w="100" w:type="dxa"/>
              <w:bottom w:w="100" w:type="dxa"/>
              <w:left w:w="120" w:type="dxa"/>
              <w:right w:w="120" w:type="dxa"/>
            </w:tcMar>
          </w:tcPr>
          <w:p>
            <w:pPr>
              <w:jc w:val="center"/>
            </w:pPr>
            <w:r>
              <w:rPr>
                <w:color w:val="0F172A"/>
                <w:sz w:val="18"/>
              </w:rPr>
              <w:t>Plotting &amp; Visualization</w:t>
            </w:r>
          </w:p>
        </w:tc>
        <w:tc>
          <w:tcPr>
            <w:tcW w:type="dxa" w:w="2340"/>
            <w:shd w:fill="F8FAFC"/>
            <w:tcMar>
              <w:top w:w="100" w:type="dxa"/>
              <w:bottom w:w="100" w:type="dxa"/>
              <w:left w:w="120" w:type="dxa"/>
              <w:right w:w="120" w:type="dxa"/>
            </w:tcMar>
          </w:tcPr>
          <w:p>
            <w:pPr>
              <w:jc w:val="left"/>
            </w:pPr>
            <w:r>
              <w:rPr>
                <w:color w:val="0F172A"/>
                <w:sz w:val="18"/>
              </w:rPr>
              <w:t>Matplotlib 3.7+ / Seaborn 0.12+</w:t>
            </w:r>
          </w:p>
        </w:tc>
        <w:tc>
          <w:tcPr>
            <w:tcW w:type="dxa" w:w="2340"/>
            <w:shd w:fill="F8FAFC"/>
            <w:tcMar>
              <w:top w:w="100" w:type="dxa"/>
              <w:bottom w:w="100" w:type="dxa"/>
              <w:left w:w="120" w:type="dxa"/>
              <w:right w:w="120" w:type="dxa"/>
            </w:tcMar>
          </w:tcPr>
          <w:p>
            <w:pPr>
              <w:jc w:val="center"/>
            </w:pPr>
            <w:r>
              <w:rPr>
                <w:color w:val="0F172A"/>
                <w:sz w:val="18"/>
              </w:rPr>
              <w:t>Matplotlib 3.10+ / Seaborn 0.13+</w:t>
            </w:r>
          </w:p>
        </w:tc>
        <w:tc>
          <w:tcPr>
            <w:tcW w:type="dxa" w:w="2340"/>
            <w:shd w:fill="F8FAFC"/>
            <w:tcMar>
              <w:top w:w="100" w:type="dxa"/>
              <w:bottom w:w="100" w:type="dxa"/>
              <w:left w:w="120" w:type="dxa"/>
              <w:right w:w="120" w:type="dxa"/>
            </w:tcMar>
          </w:tcPr>
          <w:p>
            <w:pPr>
              <w:jc w:val="left"/>
            </w:pPr>
            <w:r>
              <w:rPr>
                <w:color w:val="0F172A"/>
                <w:sz w:val="18"/>
              </w:rPr>
              <w:t>Generates publication-standard 200 DPI vector charts, residual distributions, and confusion matrices.</w:t>
            </w:r>
          </w:p>
        </w:tc>
      </w:tr>
      <w:tr>
        <w:tc>
          <w:tcPr>
            <w:tcW w:type="dxa" w:w="2340"/>
            <w:shd w:fill="FFFFFF"/>
            <w:tcMar>
              <w:top w:w="100" w:type="dxa"/>
              <w:bottom w:w="100" w:type="dxa"/>
              <w:left w:w="120" w:type="dxa"/>
              <w:right w:w="120" w:type="dxa"/>
            </w:tcMar>
          </w:tcPr>
          <w:p>
            <w:pPr>
              <w:jc w:val="center"/>
            </w:pPr>
            <w:r>
              <w:rPr>
                <w:color w:val="0F172A"/>
                <w:sz w:val="18"/>
              </w:rPr>
              <w:t>Integrated Development Env.</w:t>
            </w:r>
          </w:p>
        </w:tc>
        <w:tc>
          <w:tcPr>
            <w:tcW w:type="dxa" w:w="2340"/>
            <w:shd w:fill="FFFFFF"/>
            <w:tcMar>
              <w:top w:w="100" w:type="dxa"/>
              <w:bottom w:w="100" w:type="dxa"/>
              <w:left w:w="120" w:type="dxa"/>
              <w:right w:w="120" w:type="dxa"/>
            </w:tcMar>
          </w:tcPr>
          <w:p>
            <w:pPr>
              <w:jc w:val="left"/>
            </w:pPr>
            <w:r>
              <w:rPr>
                <w:color w:val="0F172A"/>
                <w:sz w:val="18"/>
              </w:rPr>
              <w:t>VS Code / JupyterLab</w:t>
            </w:r>
          </w:p>
        </w:tc>
        <w:tc>
          <w:tcPr>
            <w:tcW w:type="dxa" w:w="2340"/>
            <w:shd w:fill="FFFFFF"/>
            <w:tcMar>
              <w:top w:w="100" w:type="dxa"/>
              <w:bottom w:w="100" w:type="dxa"/>
              <w:left w:w="120" w:type="dxa"/>
              <w:right w:w="120" w:type="dxa"/>
            </w:tcMar>
          </w:tcPr>
          <w:p>
            <w:pPr>
              <w:jc w:val="center"/>
            </w:pPr>
            <w:r>
              <w:rPr>
                <w:color w:val="0F172A"/>
                <w:sz w:val="18"/>
              </w:rPr>
              <w:t>VS Code with Python &amp; Jupyter Extensions</w:t>
            </w:r>
          </w:p>
        </w:tc>
        <w:tc>
          <w:tcPr>
            <w:tcW w:type="dxa" w:w="2340"/>
            <w:shd w:fill="FFFFFF"/>
            <w:tcMar>
              <w:top w:w="100" w:type="dxa"/>
              <w:bottom w:w="100" w:type="dxa"/>
              <w:left w:w="120" w:type="dxa"/>
              <w:right w:w="120" w:type="dxa"/>
            </w:tcMar>
          </w:tcPr>
          <w:p>
            <w:pPr>
              <w:jc w:val="left"/>
            </w:pPr>
            <w:r>
              <w:rPr>
                <w:color w:val="0F172A"/>
                <w:sz w:val="18"/>
              </w:rPr>
              <w:t>Interactive code execution, cell-by-cell inspection, syntax verification, and debugging.</w:t>
            </w:r>
          </w:p>
        </w:tc>
      </w:tr>
      <w:tr>
        <w:tc>
          <w:tcPr>
            <w:tcW w:type="dxa" w:w="2340"/>
            <w:shd w:fill="F8FAFC"/>
            <w:tcMar>
              <w:top w:w="100" w:type="dxa"/>
              <w:bottom w:w="100" w:type="dxa"/>
              <w:left w:w="120" w:type="dxa"/>
              <w:right w:w="120" w:type="dxa"/>
            </w:tcMar>
          </w:tcPr>
          <w:p>
            <w:pPr>
              <w:jc w:val="center"/>
            </w:pPr>
            <w:r>
              <w:rPr>
                <w:color w:val="0F172A"/>
                <w:sz w:val="18"/>
              </w:rPr>
              <w:t>Web Browser Interface</w:t>
            </w:r>
          </w:p>
        </w:tc>
        <w:tc>
          <w:tcPr>
            <w:tcW w:type="dxa" w:w="2340"/>
            <w:shd w:fill="F8FAFC"/>
            <w:tcMar>
              <w:top w:w="100" w:type="dxa"/>
              <w:bottom w:w="100" w:type="dxa"/>
              <w:left w:w="120" w:type="dxa"/>
              <w:right w:w="120" w:type="dxa"/>
            </w:tcMar>
          </w:tcPr>
          <w:p>
            <w:pPr>
              <w:jc w:val="left"/>
            </w:pPr>
            <w:r>
              <w:rPr>
                <w:color w:val="0F172A"/>
                <w:sz w:val="18"/>
              </w:rPr>
              <w:t>HTML5 / ECMAScript 6 Compliant</w:t>
            </w:r>
          </w:p>
        </w:tc>
        <w:tc>
          <w:tcPr>
            <w:tcW w:type="dxa" w:w="2340"/>
            <w:shd w:fill="F8FAFC"/>
            <w:tcMar>
              <w:top w:w="100" w:type="dxa"/>
              <w:bottom w:w="100" w:type="dxa"/>
              <w:left w:w="120" w:type="dxa"/>
              <w:right w:w="120" w:type="dxa"/>
            </w:tcMar>
          </w:tcPr>
          <w:p>
            <w:pPr>
              <w:jc w:val="center"/>
            </w:pPr>
            <w:r>
              <w:rPr>
                <w:color w:val="0F172A"/>
                <w:sz w:val="18"/>
              </w:rPr>
              <w:t>Google Chrome / Microsoft Edge / Firefox</w:t>
            </w:r>
          </w:p>
        </w:tc>
        <w:tc>
          <w:tcPr>
            <w:tcW w:type="dxa" w:w="2340"/>
            <w:shd w:fill="F8FAFC"/>
            <w:tcMar>
              <w:top w:w="100" w:type="dxa"/>
              <w:bottom w:w="100" w:type="dxa"/>
              <w:left w:w="120" w:type="dxa"/>
              <w:right w:w="120" w:type="dxa"/>
            </w:tcMar>
          </w:tcPr>
          <w:p>
            <w:pPr>
              <w:jc w:val="left"/>
            </w:pPr>
            <w:r>
              <w:rPr>
                <w:color w:val="0F172A"/>
                <w:sz w:val="18"/>
              </w:rPr>
              <w:t>Client-side rendering of the responsive decision intelligence portal and GIS maps.</w:t>
            </w:r>
          </w:p>
        </w:tc>
      </w:tr>
    </w:tbl>
    <w:p>
      <w:pPr>
        <w:spacing w:after="160"/>
      </w:pPr>
    </w:p>
    <w:p>
      <w:pPr>
        <w:pStyle w:val="Heading2"/>
      </w:pPr>
      <w:r>
        <w:t>4.4.3 Operational, Network, and Security Specifications</w:t>
      </w:r>
    </w:p>
    <w:p>
      <w:pPr>
        <w:pStyle w:val="ListBullet"/>
      </w:pPr>
      <w:r>
        <w:rPr>
          <w:b/>
        </w:rPr>
        <w:t xml:space="preserve">Client-Server Reactive Architecture: </w:t>
      </w:r>
      <w:r>
        <w:t>The application operates under an asynchronous event-driven model where the Python backend runs on localhost:8501. User interactions with slider widgets transmit differential parameters via WebSockets (ws://) to trigger instant Bayesian posterior updates without requiring full-page reloads.</w:t>
      </w:r>
    </w:p>
    <w:p>
      <w:pPr>
        <w:pStyle w:val="ListBullet"/>
      </w:pPr>
      <w:r>
        <w:rPr>
          <w:b/>
        </w:rPr>
        <w:t xml:space="preserve">State Persistence &amp; Fast Caching: </w:t>
      </w:r>
      <w:r>
        <w:t>Trained model parameters, composite covariance kernel matrices, and fitted StandardScaler coefficients are persisted as a compiled binary artifact (gpr_waste_model.pkl). The application loads these objects via Streamlit's @st.cache_resource, guaranteeing sub-second startup times.</w:t>
      </w:r>
    </w:p>
    <w:p>
      <w:pPr>
        <w:pStyle w:val="ListBullet"/>
      </w:pPr>
      <w:r>
        <w:rPr>
          <w:b/>
        </w:rPr>
        <w:t xml:space="preserve">Input Integrity &amp; Fault Tolerance: </w:t>
      </w:r>
      <w:r>
        <w:t>All interactive forms enforce strict physiological boundary checks (e.g., rejecting negative rainfall depth or temperatures outside the tropical envelope). During batch CSV testing, missing required columns are caught via schema validation handlers, returning helpful diagnostic alerts rather than throwing unhandled exceptions.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