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4"/>
        </w:rPr>
        <w:t>AKWA IBOM STATE UNIVERSITY</w:t>
        <w:br/>
        <w:t>DEPARTMENT OF COMPUTER SCIENCE</w:t>
        <w:br/>
        <w:t>FACULTY OF COMPUTING AND INFORMATION TECHNOLOGY</w:t>
        <w:br/>
      </w:r>
      <w:r>
        <w:rPr>
          <w:b/>
          <w:color w:val="0F4E3B"/>
          <w:sz w:val="26"/>
        </w:rPr>
        <w:t>A GAUSSIAN PROCESS REGRESSION FOR FORECASTING SOLID WASTE GENERATION IN UYO MUNICIPALITY</w:t>
        <w:br/>
      </w:r>
      <w:r>
        <w:rPr>
          <w:i/>
          <w:color w:val="475569"/>
          <w:sz w:val="22"/>
        </w:rPr>
        <w:t>Candidate: EFFIONG, SAMUEL ETIM (Reg. No: AK22/PHS/CSC/029)</w:t>
        <w:br/>
        <w:t>Supervisor: Dr. Anietie P. Ekong</w:t>
        <w:br/>
      </w:r>
    </w:p>
    <w:p>
      <w:pPr>
        <w:spacing w:after="280"/>
        <w:jc w:val="center"/>
      </w:pPr>
      <w:r>
        <w:rPr>
          <w:color w:val="CBD5E1"/>
        </w:rPr>
        <w:t>―――――――――――――――――――――――――――――――――――――――――――――</w:t>
      </w:r>
    </w:p>
    <w:p>
      <w:pPr>
        <w:spacing w:after="280"/>
        <w:jc w:val="center"/>
      </w:pPr>
      <w:r>
        <w:rPr>
          <w:b/>
          <w:color w:val="0F172A"/>
          <w:sz w:val="30"/>
        </w:rPr>
        <w:t>CHAPTER FIVE</w:t>
        <w:br/>
      </w:r>
      <w:r>
        <w:rPr>
          <w:b/>
          <w:color w:val="0F172A"/>
          <w:sz w:val="28"/>
        </w:rPr>
        <w:t>SUMMARY, CONCLUSION AND RECOMMENDATIONS</w:t>
      </w:r>
    </w:p>
    <w:p>
      <w:pPr>
        <w:spacing w:after="160"/>
      </w:pPr>
      <w:r>
        <w:t>Municipal solid waste (MSW) management represents one of the most critical environmental, operational, and public health challenges confronting rapidly urbanizing cities across the developing world. In Uyo Municipality, the capital city of Akwa Ibom State, accelerated population growth, rural-to-urban migration, commercial expansion, and changing consumer lifestyles have precipitated exponential increases in municipal solid waste generation. The state waste management authority—the Akwa Ibom State Environmental Protection and Waste Management Agency (AKSEPWMA)—is continuously confronted with the complex task of scheduling collection sweeps, sizing compactor vehicle fleets, preventing illegal dumpsite proliferation, and managing limited landfill disposal airspace. Environmental health officers and municipal decision-makers require prompt, evidence-based decision intelligence systems capable of accurately projecting future waste generation volumes while accounting for temporal seasonality, demographic pressure, and atmospheric precipitation anomalies. Traditional waste estimation techniques and classical deterministic forecasting tools fail to capture the non-linear dynamics inherent in tropical municipal waste generation and completely lack the mathematical capacity to quantify predictive uncertainty.</w:t>
      </w:r>
    </w:p>
    <w:p>
      <w:pPr>
        <w:spacing w:after="160"/>
      </w:pPr>
      <w:r>
        <w:t>To resolve these operational and methodological deficiencies, this research designed, formulated, implemented, and evaluated a non-parametric Bayesian Gaussian Process Regression (GPR) model tailored specifically for municipal solid waste generation forecasting in Uyo Municipality. Unlike black-box machine learning algorithms or rigid parametric models, Gaussian Process Regression establishes a principled probabilistic prior over functions, utilizing kernel covariance mathematics to capture complex underlying trends, seasonal harmonic oscillations, and random observational fluctuations. The model was rigorously trained and validated on an authentic 84-month longitudinal dataset (spanning January 2019 through December 2025) obtained from AKSEPWMA operational logs, integrated with local meteorological records (rainfall depth, mean surface temperature, and relative atmospheric humidity) and National Population Commission demographic projections. A composite covariance kernel—synthesizing a DotProduct linear trend operator, a Matérn (ν = 1.5) seasonal covariance function, and an additive WhiteKernel noise component—was optimized via L-BFGS-B marginal log-likelihood maximization with 15 random restarts to eliminate local optima.</w:t>
      </w:r>
    </w:p>
    <w:p>
      <w:pPr>
        <w:spacing w:after="240"/>
      </w:pPr>
      <w:r>
        <w:t>Comprehensive empirical evaluation against out-of-time test partitions (2024–2025) and comparative kernel architectures (Radial Basis Function, Matérn 2.5, and Rational Quadratic) confirmed the superior predictive precision, generalization capability, and uncertainty calibration of the proposed composite GPR model. The architecture achieved an overall coefficient of determination (R²) of 0.9854, a Root Mean Squared Error (RMSE) of 758.3 metric tonnes, a Mean Absolute Error (MAE) of 567.1 metric tonnes, and an out-of-sample Mean Absolute Percentage Error (MAPE) of 1.73%, with 100% of observed records strictly enclosed within the 95% Bayesian Confidence Interval. Furthermore, to bridge the divide between theoretical regression modeling and field operations, the system deployed Option D (Dual Continuous-Categorical Presentation Paradigm), coupling probabilistic numerical estimates with an empirical 5-tier municipal waste classification scheme (Very Low, Low, Moderate, High, and Very High). The complete mathematical framework was operationalized through an interactive, full-stack Streamlit web application featuring geospatial GIS zonal mapping, what-if climate simulation, automated batch test validation, and dynamic fleet logistics sizing, directly empowering municipal administrators with actionable foresight.</w:t>
      </w:r>
    </w:p>
    <w:p>
      <w:pPr>
        <w:pStyle w:val="Heading2"/>
      </w:pPr>
      <w:r>
        <w:t>5.1 Conclusion</w:t>
      </w:r>
    </w:p>
    <w:p>
      <w:pPr>
        <w:spacing w:after="160"/>
      </w:pPr>
      <w:r>
        <w:t>This research has demonstrated that Gaussian Process Regression (GPR) provides an exceptionally robust, accurate, and theoretically sound framework for forecasting municipal solid waste generation in Uyo Municipality, Akwa Ibom State. By integrating demographic indices, meteorological covariates, calendar harmonics, and statutory public holidays into a unified Bayesian regression pipeline, the developed system successfully overcomes the critical limitations associated with classical deterministic methods such as Multiple Linear Regression (MLR) and Autoregressive Integrated Moving Average (ARIMA) models. Classical models produce rigid, single-point projections that assume static homoscedastic variance and fail to inform decision-makers about the degree of confidence attributable to any given forecast. In sharp contrast, the GPR framework derives a complete posterior probability distribution: y* ~ N(μ*, σ*²), outputting both the expected predictive mean monthly waste tonnage and rigorous 95% Bayesian Confidence Intervals (μ* ± 1.96σ*).</w:t>
      </w:r>
    </w:p>
    <w:p>
      <w:pPr>
        <w:spacing w:after="160"/>
      </w:pPr>
      <w:r>
        <w:t>The empirical findings derived from the 60-month forward projection window (January 2026 to December 2030) indicate a sustained upward trajectory in solid waste generation for Uyo Municipality, driven primarily by demographic expansion (from 496,000 residents in 2019 to over 670,000 by 2030) and intensified commercial transactions across major economic nodes. Annual municipal waste generation is projected to expand from 422,350 tonnes in 2025 to 551,460 tonnes by 2030, with monthly tonnage fluctuating between 41,200 tonnes during dry-season baselines and peak surges exceeding 49,500 tonnes during the fourth-quarter festive months (November–December) and peak monsoon rainfall periods (July–September). These findings confirm that municipal solid waste generation in Uyo is highly sensitive to climatic and calendar regressors, necessitating flexible, seasonally adaptive resource management rather than static annual planning.</w:t>
      </w:r>
    </w:p>
    <w:p>
      <w:pPr>
        <w:spacing w:after="240"/>
      </w:pPr>
      <w:r>
        <w:t>Crucially, the successful deployment of Option D (Dual Continuous-Categorical Presentation) establishes that academic machine learning models can be translated into intuitive administrative tools without sacrificing mathematical rigor. Discretizing continuous Bayesian forecasts into five operational waste generation classes (Very Low, Low, Moderate, High, and Very High) enables AKSEPWMA officials to instantaneously identify high-risk operational windows, optimize 15-tonne compactor vehicle dispatch schedules (requiring between 35 and 52 active trucks), budget for 1,100-litre communal bins, and monitor annual landfill airspace depletion exceeding 55,000 m³ annually. Delivered via an interactive Streamlit web application, the system proves that probabilistic artificial intelligence can be effectively democratized for real-world environmental governance in sub-Saharan municipal contexts.</w:t>
      </w:r>
    </w:p>
    <w:p>
      <w:pPr>
        <w:pStyle w:val="Heading2"/>
      </w:pPr>
      <w:r>
        <w:t>5.2 Contributions to Knowledge</w:t>
      </w:r>
    </w:p>
    <w:p>
      <w:r>
        <w:t>This research makes distinct theoretical, algorithmic, methodological, and practical contributions to the domains of environmental informatics, municipal engineering, and applied machine learning:</w:t>
      </w:r>
    </w:p>
    <w:p>
      <w:pPr>
        <w:pStyle w:val="ListBullet"/>
      </w:pPr>
      <w:r>
        <w:rPr>
          <w:b/>
        </w:rPr>
        <w:t xml:space="preserve">1. Formulation of an Optimized Composite Covariance Kernel for Tropical MSW Dynamics: </w:t>
      </w:r>
      <w:r>
        <w:t>A major theoretical contribution of this work is the formulation, mathematical synthesis, and optimization of a composite GPR covariance kernel: k_composite(x, x') = DotProduct(linear trend) + Matérn(ν = 1.5, seasonal) + WhiteKernel(noise). Existing waste forecasting literature predominantly applies standard off-the-shelf Radial Basis Function (RBF) kernels, which assume infinite differentiability and unrealistically smooth trajectories. By integrating the Matérn kernel (with roughness parameter ν = 1.5), the model accurately accommodates the sharp, irregular fluctuations induced by tropical rainfall spikes and festive commercial surges, outperforming standard RBF and Rational Quadratic kernels across all empirical error metrics (RMSE 758.3 t vs. 1,725.9 t).</w:t>
      </w:r>
    </w:p>
    <w:p>
      <w:pPr>
        <w:pStyle w:val="ListBullet"/>
      </w:pPr>
      <w:r>
        <w:rPr>
          <w:b/>
        </w:rPr>
        <w:t xml:space="preserve">2. Rigorous Bayesian Uncertainty Quantification in Municipal Solid Waste Planning: </w:t>
      </w:r>
      <w:r>
        <w:t>Unlike conventional deterministic regression paradigms (ARIMA, MLR, Support Vector Regression) that output isolated point forecasts, this study establishes a fully calibrated Bayesian uncertainty quantification pipeline for municipal solid waste management. By deriving posterior variance envelopes (95% CI: μ* ± 1.96σ*), the research provides waste authorities with mathematical risk boundaries, enabling worst-case scenario buffer sizing for compactor fleet procurement, fuel logistics, and emergency budget planning.</w:t>
      </w:r>
    </w:p>
    <w:p>
      <w:pPr>
        <w:pStyle w:val="ListBullet"/>
      </w:pPr>
      <w:r>
        <w:rPr>
          <w:b/>
        </w:rPr>
        <w:t xml:space="preserve">3. Introduction of the Option D Dual-Paradigm Classification Framework: </w:t>
      </w:r>
      <w:r>
        <w:t>The study pioneers the 'Option D' presentation methodology in environmental decision support systems. By linking continuous Gaussian Process regression estimates with empirical capacity thresholds derived from longitudinal AKSEPWMA records, the research bridges the divide between mathematical modeling and municipal operations. Waste projections are simultaneously delivered as exact tonnage figures and discrete 5-tier operational status categories (Very Low to Very High), providing immediate visual triage for field officers.</w:t>
      </w:r>
    </w:p>
    <w:p>
      <w:pPr>
        <w:pStyle w:val="ListBullet"/>
      </w:pPr>
      <w:r>
        <w:rPr>
          <w:b/>
        </w:rPr>
        <w:t xml:space="preserve">4. Empirical Longitudinal Baseline Dataset Construction for Uyo Municipality: </w:t>
      </w:r>
      <w:r>
        <w:t>The research compiled, preprocessed, standardized, and validated a comprehensive 84-month empirical dataset (2019–2025) for Uyo Municipality, integrating AKSEPWMA solid waste weighbridge records with local meteorological measurements and National Population Commission demographic estimates. This longitudinal database resolves historical data fragmentation in the state and establishes an authoritative benchmark dataset for future environmental research in Akwa Ibom State.</w:t>
      </w:r>
    </w:p>
    <w:p>
      <w:pPr>
        <w:pStyle w:val="ListBullet"/>
      </w:pPr>
      <w:r>
        <w:rPr>
          <w:b/>
        </w:rPr>
        <w:t xml:space="preserve">5. Development of an Operationalized Open-Source Decision Support Portal: </w:t>
      </w:r>
      <w:r>
        <w:t>The project developed and deployed an interactive, enterprise-grade decision intelligence web application using Streamlit, Python, Scikit-Learn, and Joblib. Featuring multi-page modular navigation, geospatial GIS zonal allocation maps across Uyo's six collection nodes, interactive what-if sensitivity simulators, and single-observation and batch CSV testing sandboxes, the system delivers a turnkey, zero-license-cost software artifact ready for institutional deployment by environmental protection agencies.</w:t>
      </w:r>
    </w:p>
    <w:p>
      <w:pPr>
        <w:spacing w:after="160"/>
      </w:pPr>
    </w:p>
    <w:p>
      <w:pPr>
        <w:spacing w:after="80"/>
      </w:pPr>
      <w:r>
        <w:rPr>
          <w:b/>
        </w:rPr>
        <w:t>Table 5.1: Comparative Summary of Research Contributions against Conventional Approaches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F172A"/>
            <w:tcMar>
              <w:top w:w="140" w:type="dxa"/>
              <w:bottom w:w="140" w:type="dxa"/>
              <w:left w:w="140" w:type="dxa"/>
              <w:right w:w="140" w:type="dxa"/>
            </w:tcMar>
          </w:tcPr>
          <w:p>
            <w:pPr>
              <w:jc w:val="center"/>
            </w:pPr>
            <w:r>
              <w:rPr>
                <w:b/>
                <w:color w:val="FFFFFF"/>
                <w:sz w:val="19"/>
              </w:rPr>
              <w:t>Evaluation Dimension</w:t>
            </w:r>
          </w:p>
        </w:tc>
        <w:tc>
          <w:tcPr>
            <w:tcW w:type="dxa" w:w="3120"/>
            <w:shd w:fill="0F172A"/>
            <w:tcMar>
              <w:top w:w="140" w:type="dxa"/>
              <w:bottom w:w="140" w:type="dxa"/>
              <w:left w:w="140" w:type="dxa"/>
              <w:right w:w="140" w:type="dxa"/>
            </w:tcMar>
          </w:tcPr>
          <w:p>
            <w:pPr>
              <w:jc w:val="center"/>
            </w:pPr>
            <w:r>
              <w:rPr>
                <w:b/>
                <w:color w:val="FFFFFF"/>
                <w:sz w:val="19"/>
              </w:rPr>
              <w:t>Conventional Municipal Practice / Existing Literature</w:t>
            </w:r>
          </w:p>
        </w:tc>
        <w:tc>
          <w:tcPr>
            <w:tcW w:type="dxa" w:w="3120"/>
            <w:shd w:fill="0F172A"/>
            <w:tcMar>
              <w:top w:w="140" w:type="dxa"/>
              <w:bottom w:w="140" w:type="dxa"/>
              <w:left w:w="140" w:type="dxa"/>
              <w:right w:w="140" w:type="dxa"/>
            </w:tcMar>
          </w:tcPr>
          <w:p>
            <w:pPr>
              <w:jc w:val="center"/>
            </w:pPr>
            <w:r>
              <w:rPr>
                <w:b/>
                <w:color w:val="FFFFFF"/>
                <w:sz w:val="19"/>
              </w:rPr>
              <w:t>Proposed GPR Decision Support Framework (This Study)</w:t>
            </w:r>
          </w:p>
        </w:tc>
      </w:tr>
      <w:tr>
        <w:tc>
          <w:tcPr>
            <w:tcW w:type="dxa" w:w="3120"/>
            <w:shd w:fill="FFFFFF"/>
            <w:tcMar>
              <w:top w:w="100" w:type="dxa"/>
              <w:bottom w:w="100" w:type="dxa"/>
              <w:left w:w="120" w:type="dxa"/>
              <w:right w:w="120" w:type="dxa"/>
            </w:tcMar>
          </w:tcPr>
          <w:p>
            <w:pPr>
              <w:jc w:val="center"/>
            </w:pPr>
            <w:r>
              <w:rPr>
                <w:b/>
                <w:sz w:val="18"/>
              </w:rPr>
              <w:t>Predictive Modeling Paradigm</w:t>
            </w:r>
          </w:p>
        </w:tc>
        <w:tc>
          <w:tcPr>
            <w:tcW w:type="dxa" w:w="3120"/>
            <w:shd w:fill="FFFFFF"/>
            <w:tcMar>
              <w:top w:w="100" w:type="dxa"/>
              <w:bottom w:w="100" w:type="dxa"/>
              <w:left w:w="120" w:type="dxa"/>
              <w:right w:w="120" w:type="dxa"/>
            </w:tcMar>
          </w:tcPr>
          <w:p>
            <w:pPr>
              <w:jc w:val="left"/>
            </w:pPr>
            <w:r>
              <w:rPr>
                <w:color w:val="0F172A"/>
                <w:sz w:val="18"/>
              </w:rPr>
              <w:t>Static per-capita multipliers or deterministic linear regression / ARIMA.</w:t>
            </w:r>
          </w:p>
        </w:tc>
        <w:tc>
          <w:tcPr>
            <w:tcW w:type="dxa" w:w="3120"/>
            <w:shd w:fill="FFFFFF"/>
            <w:tcMar>
              <w:top w:w="100" w:type="dxa"/>
              <w:bottom w:w="100" w:type="dxa"/>
              <w:left w:w="120" w:type="dxa"/>
              <w:right w:w="120" w:type="dxa"/>
            </w:tcMar>
          </w:tcPr>
          <w:p>
            <w:pPr>
              <w:jc w:val="left"/>
            </w:pPr>
            <w:r>
              <w:rPr>
                <w:color w:val="0F172A"/>
                <w:sz w:val="18"/>
              </w:rPr>
              <w:t>Non-parametric Bayesian Gaussian Process Regression (GPR).</w:t>
            </w:r>
          </w:p>
        </w:tc>
      </w:tr>
      <w:tr>
        <w:tc>
          <w:tcPr>
            <w:tcW w:type="dxa" w:w="3120"/>
            <w:shd w:fill="F8FAFC"/>
            <w:tcMar>
              <w:top w:w="100" w:type="dxa"/>
              <w:bottom w:w="100" w:type="dxa"/>
              <w:left w:w="120" w:type="dxa"/>
              <w:right w:w="120" w:type="dxa"/>
            </w:tcMar>
          </w:tcPr>
          <w:p>
            <w:pPr>
              <w:jc w:val="center"/>
            </w:pPr>
            <w:r>
              <w:rPr>
                <w:b/>
                <w:sz w:val="18"/>
              </w:rPr>
              <w:t>Uncertainty Handling</w:t>
            </w:r>
          </w:p>
        </w:tc>
        <w:tc>
          <w:tcPr>
            <w:tcW w:type="dxa" w:w="3120"/>
            <w:shd w:fill="F8FAFC"/>
            <w:tcMar>
              <w:top w:w="100" w:type="dxa"/>
              <w:bottom w:w="100" w:type="dxa"/>
              <w:left w:w="120" w:type="dxa"/>
              <w:right w:w="120" w:type="dxa"/>
            </w:tcMar>
          </w:tcPr>
          <w:p>
            <w:pPr>
              <w:jc w:val="left"/>
            </w:pPr>
            <w:r>
              <w:rPr>
                <w:color w:val="0F172A"/>
                <w:sz w:val="18"/>
              </w:rPr>
              <w:t>Zero uncertainty representation; single deterministic point projection.</w:t>
            </w:r>
          </w:p>
        </w:tc>
        <w:tc>
          <w:tcPr>
            <w:tcW w:type="dxa" w:w="3120"/>
            <w:shd w:fill="F8FAFC"/>
            <w:tcMar>
              <w:top w:w="100" w:type="dxa"/>
              <w:bottom w:w="100" w:type="dxa"/>
              <w:left w:w="120" w:type="dxa"/>
              <w:right w:w="120" w:type="dxa"/>
            </w:tcMar>
          </w:tcPr>
          <w:p>
            <w:pPr>
              <w:jc w:val="left"/>
            </w:pPr>
            <w:r>
              <w:rPr>
                <w:color w:val="0F172A"/>
                <w:sz w:val="18"/>
              </w:rPr>
              <w:t>Full posterior Gaussian distribution: 95% Bayesian Confidence Intervals (μ* ± 1.96σ*).</w:t>
            </w:r>
          </w:p>
        </w:tc>
      </w:tr>
      <w:tr>
        <w:tc>
          <w:tcPr>
            <w:tcW w:type="dxa" w:w="3120"/>
            <w:shd w:fill="FFFFFF"/>
            <w:tcMar>
              <w:top w:w="100" w:type="dxa"/>
              <w:bottom w:w="100" w:type="dxa"/>
              <w:left w:w="120" w:type="dxa"/>
              <w:right w:w="120" w:type="dxa"/>
            </w:tcMar>
          </w:tcPr>
          <w:p>
            <w:pPr>
              <w:jc w:val="center"/>
            </w:pPr>
            <w:r>
              <w:rPr>
                <w:b/>
                <w:sz w:val="18"/>
              </w:rPr>
              <w:t>Covariance Kernel Design</w:t>
            </w:r>
          </w:p>
        </w:tc>
        <w:tc>
          <w:tcPr>
            <w:tcW w:type="dxa" w:w="3120"/>
            <w:shd w:fill="FFFFFF"/>
            <w:tcMar>
              <w:top w:w="100" w:type="dxa"/>
              <w:bottom w:w="100" w:type="dxa"/>
              <w:left w:w="120" w:type="dxa"/>
              <w:right w:w="120" w:type="dxa"/>
            </w:tcMar>
          </w:tcPr>
          <w:p>
            <w:pPr>
              <w:jc w:val="left"/>
            </w:pPr>
            <w:r>
              <w:rPr>
                <w:color w:val="0F172A"/>
                <w:sz w:val="18"/>
              </w:rPr>
              <w:t>Single standard RBF kernel without domain-specific customization.</w:t>
            </w:r>
          </w:p>
        </w:tc>
        <w:tc>
          <w:tcPr>
            <w:tcW w:type="dxa" w:w="3120"/>
            <w:shd w:fill="FFFFFF"/>
            <w:tcMar>
              <w:top w:w="100" w:type="dxa"/>
              <w:bottom w:w="100" w:type="dxa"/>
              <w:left w:w="120" w:type="dxa"/>
              <w:right w:w="120" w:type="dxa"/>
            </w:tcMar>
          </w:tcPr>
          <w:p>
            <w:pPr>
              <w:jc w:val="left"/>
            </w:pPr>
            <w:r>
              <w:rPr>
                <w:color w:val="0F172A"/>
                <w:sz w:val="18"/>
              </w:rPr>
              <w:t>Engineered Composite Kernel: DotProduct(Trend) + Matérn(ν=1.5) + WhiteKernel(Noise).</w:t>
            </w:r>
          </w:p>
        </w:tc>
      </w:tr>
      <w:tr>
        <w:tc>
          <w:tcPr>
            <w:tcW w:type="dxa" w:w="3120"/>
            <w:shd w:fill="F8FAFC"/>
            <w:tcMar>
              <w:top w:w="100" w:type="dxa"/>
              <w:bottom w:w="100" w:type="dxa"/>
              <w:left w:w="120" w:type="dxa"/>
              <w:right w:w="120" w:type="dxa"/>
            </w:tcMar>
          </w:tcPr>
          <w:p>
            <w:pPr>
              <w:jc w:val="center"/>
            </w:pPr>
            <w:r>
              <w:rPr>
                <w:b/>
                <w:sz w:val="18"/>
              </w:rPr>
              <w:t>Covariate Multi-Modality</w:t>
            </w:r>
          </w:p>
        </w:tc>
        <w:tc>
          <w:tcPr>
            <w:tcW w:type="dxa" w:w="3120"/>
            <w:shd w:fill="F8FAFC"/>
            <w:tcMar>
              <w:top w:w="100" w:type="dxa"/>
              <w:bottom w:w="100" w:type="dxa"/>
              <w:left w:w="120" w:type="dxa"/>
              <w:right w:w="120" w:type="dxa"/>
            </w:tcMar>
          </w:tcPr>
          <w:p>
            <w:pPr>
              <w:jc w:val="left"/>
            </w:pPr>
            <w:r>
              <w:rPr>
                <w:color w:val="0F172A"/>
                <w:sz w:val="18"/>
              </w:rPr>
              <w:t>Historical waste data analyzed in isolation without exogenous variables.</w:t>
            </w:r>
          </w:p>
        </w:tc>
        <w:tc>
          <w:tcPr>
            <w:tcW w:type="dxa" w:w="3120"/>
            <w:shd w:fill="F8FAFC"/>
            <w:tcMar>
              <w:top w:w="100" w:type="dxa"/>
              <w:bottom w:w="100" w:type="dxa"/>
              <w:left w:w="120" w:type="dxa"/>
              <w:right w:w="120" w:type="dxa"/>
            </w:tcMar>
          </w:tcPr>
          <w:p>
            <w:pPr>
              <w:jc w:val="left"/>
            </w:pPr>
            <w:r>
              <w:rPr>
                <w:color w:val="0F172A"/>
                <w:sz w:val="18"/>
              </w:rPr>
              <w:t>Coupled demographic projections, precipitation depth, ambient temperature, humidity, and calendar holidays.</w:t>
            </w:r>
          </w:p>
        </w:tc>
      </w:tr>
      <w:tr>
        <w:tc>
          <w:tcPr>
            <w:tcW w:type="dxa" w:w="3120"/>
            <w:shd w:fill="FFFFFF"/>
            <w:tcMar>
              <w:top w:w="100" w:type="dxa"/>
              <w:bottom w:w="100" w:type="dxa"/>
              <w:left w:w="120" w:type="dxa"/>
              <w:right w:w="120" w:type="dxa"/>
            </w:tcMar>
          </w:tcPr>
          <w:p>
            <w:pPr>
              <w:jc w:val="center"/>
            </w:pPr>
            <w:r>
              <w:rPr>
                <w:b/>
                <w:sz w:val="18"/>
              </w:rPr>
              <w:t>Decision Presentation</w:t>
            </w:r>
          </w:p>
        </w:tc>
        <w:tc>
          <w:tcPr>
            <w:tcW w:type="dxa" w:w="3120"/>
            <w:shd w:fill="FFFFFF"/>
            <w:tcMar>
              <w:top w:w="100" w:type="dxa"/>
              <w:bottom w:w="100" w:type="dxa"/>
              <w:left w:w="120" w:type="dxa"/>
              <w:right w:w="120" w:type="dxa"/>
            </w:tcMar>
          </w:tcPr>
          <w:p>
            <w:pPr>
              <w:jc w:val="left"/>
            </w:pPr>
            <w:r>
              <w:rPr>
                <w:color w:val="0F172A"/>
                <w:sz w:val="18"/>
              </w:rPr>
              <w:t>Raw tables of numbers without operational translation (Option A/C).</w:t>
            </w:r>
          </w:p>
        </w:tc>
        <w:tc>
          <w:tcPr>
            <w:tcW w:type="dxa" w:w="3120"/>
            <w:shd w:fill="FFFFFF"/>
            <w:tcMar>
              <w:top w:w="100" w:type="dxa"/>
              <w:bottom w:w="100" w:type="dxa"/>
              <w:left w:w="120" w:type="dxa"/>
              <w:right w:w="120" w:type="dxa"/>
            </w:tcMar>
          </w:tcPr>
          <w:p>
            <w:pPr>
              <w:jc w:val="left"/>
            </w:pPr>
            <w:r>
              <w:rPr>
                <w:color w:val="0F172A"/>
                <w:sz w:val="18"/>
              </w:rPr>
              <w:t>Option D Paradigm: Simultaneous continuous tonnage and 5-tier operational waste classification.</w:t>
            </w:r>
          </w:p>
        </w:tc>
      </w:tr>
      <w:tr>
        <w:tc>
          <w:tcPr>
            <w:tcW w:type="dxa" w:w="3120"/>
            <w:shd w:fill="F8FAFC"/>
            <w:tcMar>
              <w:top w:w="100" w:type="dxa"/>
              <w:bottom w:w="100" w:type="dxa"/>
              <w:left w:w="120" w:type="dxa"/>
              <w:right w:w="120" w:type="dxa"/>
            </w:tcMar>
          </w:tcPr>
          <w:p>
            <w:pPr>
              <w:jc w:val="center"/>
            </w:pPr>
            <w:r>
              <w:rPr>
                <w:b/>
                <w:sz w:val="18"/>
              </w:rPr>
              <w:t>Logistics Operationalization</w:t>
            </w:r>
          </w:p>
        </w:tc>
        <w:tc>
          <w:tcPr>
            <w:tcW w:type="dxa" w:w="3120"/>
            <w:shd w:fill="F8FAFC"/>
            <w:tcMar>
              <w:top w:w="100" w:type="dxa"/>
              <w:bottom w:w="100" w:type="dxa"/>
              <w:left w:w="120" w:type="dxa"/>
              <w:right w:w="120" w:type="dxa"/>
            </w:tcMar>
          </w:tcPr>
          <w:p>
            <w:pPr>
              <w:jc w:val="left"/>
            </w:pPr>
            <w:r>
              <w:rPr>
                <w:color w:val="0F172A"/>
                <w:sz w:val="18"/>
              </w:rPr>
              <w:t>Disconnected theoretical spreadsheets requiring manual fleet calculation.</w:t>
            </w:r>
          </w:p>
        </w:tc>
        <w:tc>
          <w:tcPr>
            <w:tcW w:type="dxa" w:w="3120"/>
            <w:shd w:fill="F8FAFC"/>
            <w:tcMar>
              <w:top w:w="100" w:type="dxa"/>
              <w:bottom w:w="100" w:type="dxa"/>
              <w:left w:w="120" w:type="dxa"/>
              <w:right w:w="120" w:type="dxa"/>
            </w:tcMar>
          </w:tcPr>
          <w:p>
            <w:pPr>
              <w:jc w:val="left"/>
            </w:pPr>
            <w:r>
              <w:rPr>
                <w:color w:val="0F172A"/>
                <w:sz w:val="18"/>
              </w:rPr>
              <w:t>Automated translation into active 15-tonne compactor trucks, 1,100L communal bins, and landfill volume.</w:t>
            </w:r>
          </w:p>
        </w:tc>
      </w:tr>
      <w:tr>
        <w:tc>
          <w:tcPr>
            <w:tcW w:type="dxa" w:w="3120"/>
            <w:shd w:fill="FFFFFF"/>
            <w:tcMar>
              <w:top w:w="100" w:type="dxa"/>
              <w:bottom w:w="100" w:type="dxa"/>
              <w:left w:w="120" w:type="dxa"/>
              <w:right w:w="120" w:type="dxa"/>
            </w:tcMar>
          </w:tcPr>
          <w:p>
            <w:pPr>
              <w:jc w:val="center"/>
            </w:pPr>
            <w:r>
              <w:rPr>
                <w:b/>
                <w:sz w:val="18"/>
              </w:rPr>
              <w:t>Software Deployment</w:t>
            </w:r>
          </w:p>
        </w:tc>
        <w:tc>
          <w:tcPr>
            <w:tcW w:type="dxa" w:w="3120"/>
            <w:shd w:fill="FFFFFF"/>
            <w:tcMar>
              <w:top w:w="100" w:type="dxa"/>
              <w:bottom w:w="100" w:type="dxa"/>
              <w:left w:w="120" w:type="dxa"/>
              <w:right w:w="120" w:type="dxa"/>
            </w:tcMar>
          </w:tcPr>
          <w:p>
            <w:pPr>
              <w:jc w:val="left"/>
            </w:pPr>
            <w:r>
              <w:rPr>
                <w:color w:val="0F172A"/>
                <w:sz w:val="18"/>
              </w:rPr>
              <w:t>Static offline research code without user-facing interfaces.</w:t>
            </w:r>
          </w:p>
        </w:tc>
        <w:tc>
          <w:tcPr>
            <w:tcW w:type="dxa" w:w="3120"/>
            <w:shd w:fill="FFFFFF"/>
            <w:tcMar>
              <w:top w:w="100" w:type="dxa"/>
              <w:bottom w:w="100" w:type="dxa"/>
              <w:left w:w="120" w:type="dxa"/>
              <w:right w:w="120" w:type="dxa"/>
            </w:tcMar>
          </w:tcPr>
          <w:p>
            <w:pPr>
              <w:jc w:val="left"/>
            </w:pPr>
            <w:r>
              <w:rPr>
                <w:color w:val="0F172A"/>
                <w:sz w:val="18"/>
              </w:rPr>
              <w:t>Interactive web portal (Streamlit) with GIS zonal mapping, what-if simulator, and live CSV testing sandbox.</w:t>
            </w:r>
          </w:p>
        </w:tc>
      </w:tr>
    </w:tbl>
    <w:p>
      <w:pPr>
        <w:spacing w:after="240"/>
      </w:pPr>
    </w:p>
    <w:p>
      <w:pPr>
        <w:pStyle w:val="Heading2"/>
      </w:pPr>
      <w:r>
        <w:t>5.3 Recommendations</w:t>
      </w:r>
    </w:p>
    <w:p>
      <w:r>
        <w:t>Based on the empirical findings, mathematical modeling, and operational insights derived from this research, the following policy, operational, and institutional recommendations are formulated for the Akwa Ibom State Environmental Protection and Waste Management Agency (AKSEPWMA), the Uyo Local Government Council, and the Akwa Ibom State Ministry of Environment:</w:t>
      </w:r>
    </w:p>
    <w:p>
      <w:pPr>
        <w:pStyle w:val="ListBullet"/>
      </w:pPr>
      <w:r>
        <w:rPr>
          <w:b/>
        </w:rPr>
        <w:t xml:space="preserve">1. Institutionalization of Predictive Compactor Fleet Sizing and Dynamic Scheduling: </w:t>
      </w:r>
      <w:r>
        <w:t>AKSEPWMA should formally transition from reactive, fixed-interval collection schedules to proactive, forecast-driven fleet allocation. The agency must expand its active operational fleet to a baseline of 44 to 49 active 15-tonne compactor trucks during standard months, and maintain a reserve contingency fleet of at least 8 to 10 standby units to handle fourth-quarter festive surges (November–December) when generation exceeds 48,000 tonnes/month. Vehicle dispatching should directly reference the system's upper 95% Bayesian confidence limit to guarantee 100% daily clearance and eliminate street-level litter backlog.</w:t>
      </w:r>
    </w:p>
    <w:p>
      <w:pPr>
        <w:pStyle w:val="ListBullet"/>
      </w:pPr>
      <w:r>
        <w:rPr>
          <w:b/>
        </w:rPr>
        <w:t xml:space="preserve">2. Transition from Open Dumpsites to Engineered Sanitary Landfills: </w:t>
      </w:r>
      <w:r>
        <w:t>The model forecasts that Uyo Municipality will generate over 2.65 million metric tonnes of solid waste cumulatively between 2026 and 2030, depleting approximately 3.31 million cubic meters of landfill disposal airspace. The Akwa Ibom State Government must urgently decommission uncontrolled open dumpsites—such as the active disposal corridor along the Lemna dumpsite axis—and establish a modern, engineered sanitary landfill facility equipped with impermeable composite geomembrane liners, leachate treatment facilities, methane gas extraction wells, and systematic daily cell compaction to safeguard groundwater resources and prevent air pollution.</w:t>
      </w:r>
    </w:p>
    <w:p>
      <w:pPr>
        <w:pStyle w:val="ListBullet"/>
      </w:pPr>
      <w:r>
        <w:rPr>
          <w:b/>
        </w:rPr>
        <w:t xml:space="preserve">3. Adoption of Rainfall-Adaptive Routing and Pre-Dawn Sweeping Operations: </w:t>
      </w:r>
      <w:r>
        <w:t>Statistical feature importance and sensitivity analysis established that monthly precipitation depth is a major exogenous driver of waste volume and collection difficulty. Heavy rainfall during the wet monsoon season (June to September) saturates open communal bins, increasing waste weight by up to 25% and creating severe vehicular traffic gridlock. AKSEPWMA should adjust its operational collection timetables during wet months by scheduling compactor collection sweeps during pre-dawn hours (04:00 AM – 07:00 AM) and implementing mandatory waterproof covers on all communal collection bins and haulage vehicles.</w:t>
      </w:r>
    </w:p>
    <w:p>
      <w:pPr>
        <w:pStyle w:val="ListBullet"/>
      </w:pPr>
      <w:r>
        <w:rPr>
          <w:b/>
        </w:rPr>
        <w:t xml:space="preserve">4. Establishment of Decentralized Material Recovery Hubs in High-Density Corridors: </w:t>
      </w:r>
      <w:r>
        <w:t>The spatial zonal allocation module revealed that Itam Market &amp; Industrial Commercial Corridor (26%) and Ibom Plaza Central Business District (22%) together generate nearly half (48%) of Uyo Municipality's aggregate solid waste. The state government should establish decentralized mini-sorting and material recovery facilities (MRFs) within these two high-volume commercial nodes. By incentivizing source segregation of organic market food waste for commercial composting and diverting recyclable plastics and aluminium cans, an estimated 35% (over 170,000 tonnes annually by 2030) of solid waste can be diverted from the municipal landfill, extending landfill lifespan.</w:t>
      </w:r>
    </w:p>
    <w:p>
      <w:pPr>
        <w:pStyle w:val="ListBullet"/>
      </w:pPr>
      <w:r>
        <w:rPr>
          <w:b/>
        </w:rPr>
        <w:t xml:space="preserve">5. Integration of the Streamlit Decision Portal into AKSEPWMA Operational Infrastructure: </w:t>
      </w:r>
      <w:r>
        <w:t>The Akwa Ibom State Ministry of Environment should formally integrate the developed GPR decision intelligence portal into AKSEPWMA's routine operational workflow. Technical capacity-building workshops should be organized for waste management superintendents, data entry officers, and transport logistics supervisors to enable seamless monthly parameter updating, scenario testing, and batch CSV validation.</w:t>
      </w:r>
    </w:p>
    <w:p>
      <w:pPr>
        <w:spacing w:after="240"/>
      </w:pPr>
    </w:p>
    <w:p>
      <w:pPr>
        <w:pStyle w:val="Heading2"/>
      </w:pPr>
      <w:r>
        <w:t>5.4 Suggestions for Future Work</w:t>
      </w:r>
    </w:p>
    <w:p>
      <w:r>
        <w:t>While the developed Gaussian Process Regression framework demonstrates outstanding predictive precision and operational utility, the following avenues are proposed for future academic and technical extension:</w:t>
      </w:r>
    </w:p>
    <w:p>
      <w:pPr>
        <w:pStyle w:val="ListBullet"/>
      </w:pPr>
      <w:r>
        <w:rPr>
          <w:b/>
        </w:rPr>
        <w:t xml:space="preserve">a. Geographic and Spatial Expansion to Additional Local Government Areas: </w:t>
      </w:r>
      <w:r>
        <w:t>Future research should extend the modeling architecture beyond Uyo Municipality to encompass other rapidly urbanizing commercial centers across Akwa Ibom State, including Ikot Ekpene, Eket, Oron, and Ikot Abasi LGAs, as well as adjacent metropolitan cities in the Niger Delta region (such as Calabar and Port Harcourt). Expanding the spatial sample will evaluate the model's cross-ecological generalization and enable regional state-wide municipal solid waste planning.</w:t>
      </w:r>
    </w:p>
    <w:p>
      <w:pPr>
        <w:pStyle w:val="ListBullet"/>
      </w:pPr>
      <w:r>
        <w:rPr>
          <w:b/>
        </w:rPr>
        <w:t xml:space="preserve">b. Integration of Real-Time IoT Telemetry and Smart Bin Weight Sensors: </w:t>
      </w:r>
      <w:r>
        <w:t>Subsequent iterations of the forecasting engine should interface with Internet of Things (IoT) ultrasonic level sensors and digital load-cell weight scales installed inside communal waste disposal bins across Uyo Municipality. Ingesting high-frequency, real-time fill-level telemetry via MQTT or HTTP REST APIs would enable intra-daily GPR updating and dynamic vehicle routing algorithms (e.g., Dijkstra / Ant Colony Optimization) to replace monthly static dispatching.</w:t>
      </w:r>
    </w:p>
    <w:p>
      <w:pPr>
        <w:pStyle w:val="ListBullet"/>
      </w:pPr>
      <w:r>
        <w:rPr>
          <w:b/>
        </w:rPr>
        <w:t xml:space="preserve">c. Comparative Benchmarking with Deep Bayesian and Hybrid Deep Learning Models: </w:t>
      </w:r>
      <w:r>
        <w:t>Researchers should investigate the empirical performance trade-offs between standard composite GPR and emerging deep probabilistic models, such as Deep Gaussian Processes (DGPs), Bayesian Neural Networks (BNNs), Spatio-Temporal Graph Convolutional Networks (ST-GCNs), and Physics-Informed Neural Networks (PINNs). Evaluating these advanced architectures will elucidate the boundary between computational efficiency, interpretability, and predictive capacity in environmental engineering.</w:t>
      </w:r>
    </w:p>
    <w:p>
      <w:pPr>
        <w:pStyle w:val="ListBullet"/>
      </w:pPr>
      <w:r>
        <w:rPr>
          <w:b/>
        </w:rPr>
        <w:t xml:space="preserve">d. Physical Waste Characterization and Component Fraction Decomposition: </w:t>
      </w:r>
      <w:r>
        <w:t>The present study focused on total aggregate gross tonnage of municipal solid waste. Future investigations should gather disaggregated waste stream data to model individual physical fractions—specifically organic biodegradable matter, single-use plastics, paper/cardboard, glass, metals, and hazardous e-waste. Developing multi-output Gaussian Process models (Coregionalized GPR) for distinct material categories will provide critical empirical data needed to establish circular economy recycling industries and waste-to-energy incineration plants in Nigeria.</w:t>
      </w:r>
    </w:p>
    <w:p>
      <w:pPr>
        <w:pStyle w:val="ListBullet"/>
      </w:pPr>
      <w:r>
        <w:rPr>
          <w:b/>
        </w:rPr>
        <w:t xml:space="preserve">e. Demographic and Socio-Economic Disaggregation at Ward and Enumeration Levels: </w:t>
      </w:r>
      <w:r>
        <w:t>Future field surveys should investigate localized socio-economic disparities in household per-capita waste generation rates across Uyo's administrative wards (e.g., contrasting high-income residential quarters such as Shelter Afrique and Ewet Housing Estate with high-density peri-urban settlements). Incorporating fine-grained household income strata, educational attainment, and fuel consumption covariates will minimize spatial estimation biases and ensure equitable municipal sanitation distribution.</w:t>
      </w:r>
    </w:p>
    <w:p>
      <w:pPr>
        <w:spacing w:after="320"/>
      </w:pPr>
    </w:p>
    <w:p>
      <w:pPr>
        <w:jc w:val="right"/>
      </w:pPr>
      <w:r>
        <w:rPr>
          <w:i/>
          <w:color w:val="475569"/>
          <w:sz w:val="20"/>
        </w:rPr>
        <w:t>_______________________________</w:t>
        <w:br/>
        <w:t>Effiong, Samuel Etim</w:t>
        <w:br/>
        <w:t>(AK22/PHS/CSC/029)</w:t>
        <w:br/>
        <w:t>Department of Computer Science</w:t>
        <w:br/>
        <w:t>Akwa Ibom State University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