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pPr>
    </w:p>
    <w:p>
      <w:r>
        <w:rPr>
          <w:rFonts w:ascii="Calibri" w:hAnsi="Calibri"/>
          <w:b/>
          <w:color w:val="2E74B5"/>
          <w:sz w:val="22"/>
        </w:rPr>
        <w:t>CANNONMAP</w:t>
      </w:r>
    </w:p>
    <w:p>
      <w:pPr>
        <w:spacing w:after="100"/>
      </w:pPr>
      <w:r>
        <w:rPr>
          <w:rFonts w:ascii="Calibri" w:hAnsi="Calibri"/>
          <w:b/>
          <w:color w:val="18324A"/>
          <w:sz w:val="56"/>
        </w:rPr>
        <w:t>Implementation Roadmap</w:t>
      </w:r>
    </w:p>
    <w:p>
      <w:pPr>
        <w:spacing w:after="360"/>
      </w:pPr>
      <w:r>
        <w:rPr>
          <w:rFonts w:ascii="Calibri" w:hAnsi="Calibri"/>
          <w:color w:val="1F4D78"/>
          <w:sz w:val="32"/>
        </w:rPr>
        <w:t>Architecture Version 2.0</w:t>
      </w:r>
    </w:p>
    <w:p>
      <w:pPr>
        <w:spacing w:after="440"/>
      </w:pPr>
      <w:r>
        <w:rPr>
          <w:rFonts w:ascii="Calibri" w:hAnsi="Calibri"/>
          <w:b w:val="0"/>
          <w:i/>
          <w:color w:val="64748B"/>
        </w:rPr>
        <w:t>Evolutionary refactoring and subsystem delivery plan</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vAlign w:val="top"/>
            <w:tcMar>
              <w:top w:w="80" w:type="dxa"/>
              <w:bottom w:w="80" w:type="dxa"/>
              <w:start w:w="120" w:type="dxa"/>
              <w:end w:w="120" w:type="dxa"/>
            </w:tcMar>
            <w:shd w:fill="F2F4F7"/>
          </w:tcPr>
          <w:p>
            <w:pPr>
              <w:spacing w:after="0"/>
            </w:pPr>
            <w:r>
              <w:rPr>
                <w:rFonts w:ascii="Calibri" w:hAnsi="Calibri"/>
                <w:b/>
                <w:color w:val="18324A"/>
                <w:sz w:val="18"/>
              </w:rPr>
              <w:t>Document control</w:t>
            </w:r>
          </w:p>
        </w:tc>
        <w:tc>
          <w:tcPr>
            <w:tcW w:type="dxa" w:w="7160"/>
            <w:vAlign w:val="top"/>
            <w:tcMar>
              <w:top w:w="80" w:type="dxa"/>
              <w:bottom w:w="80" w:type="dxa"/>
              <w:start w:w="120" w:type="dxa"/>
              <w:end w:w="120" w:type="dxa"/>
            </w:tcMar>
            <w:shd w:fill="F2F4F7"/>
          </w:tcPr>
          <w:p>
            <w:pPr>
              <w:spacing w:after="0"/>
            </w:pPr>
            <w:r>
              <w:rPr>
                <w:rFonts w:ascii="Calibri" w:hAnsi="Calibri"/>
                <w:b/>
                <w:color w:val="18324A"/>
                <w:sz w:val="18"/>
              </w:rPr>
              <w:t>Value</w:t>
            </w:r>
          </w:p>
        </w:tc>
      </w:tr>
      <w:tr>
        <w:tc>
          <w:tcPr>
            <w:tcW w:type="dxa" w:w="2200"/>
          </w:tcPr>
          <w:p>
            <w:pPr>
              <w:spacing w:after="0"/>
            </w:pPr>
            <w:r>
              <w:rPr>
                <w:rFonts w:ascii="Calibri" w:hAnsi="Calibri"/>
                <w:color w:val="1F2937"/>
                <w:sz w:val="17"/>
              </w:rPr>
              <w:t>Baseline</w:t>
            </w:r>
          </w:p>
        </w:tc>
        <w:tc>
          <w:tcPr>
            <w:tcW w:type="dxa" w:w="7160"/>
          </w:tcPr>
          <w:p>
            <w:pPr>
              <w:spacing w:after="0"/>
            </w:pPr>
            <w:r>
              <w:rPr>
                <w:rFonts w:ascii="Calibri" w:hAnsi="Calibri"/>
                <w:color w:val="1F2937"/>
                <w:sz w:val="17"/>
              </w:rPr>
              <w:t>CannonMap Software Architecture Specification Version 1.0</w:t>
            </w:r>
          </w:p>
        </w:tc>
      </w:tr>
      <w:tr>
        <w:tc>
          <w:tcPr>
            <w:tcW w:type="dxa" w:w="2200"/>
          </w:tcPr>
          <w:p>
            <w:pPr>
              <w:spacing w:after="0"/>
            </w:pPr>
            <w:r>
              <w:rPr>
                <w:rFonts w:ascii="Calibri" w:hAnsi="Calibri"/>
                <w:color w:val="1F2937"/>
                <w:sz w:val="17"/>
              </w:rPr>
              <w:t>Approved additions</w:t>
            </w:r>
          </w:p>
        </w:tc>
        <w:tc>
          <w:tcPr>
            <w:tcW w:type="dxa" w:w="7160"/>
          </w:tcPr>
          <w:p>
            <w:pPr>
              <w:spacing w:after="0"/>
            </w:pPr>
            <w:r>
              <w:rPr>
                <w:rFonts w:ascii="Calibri" w:hAnsi="Calibri"/>
                <w:color w:val="1F2937"/>
                <w:sz w:val="17"/>
              </w:rPr>
              <w:t>Route Family, Commitment, Publication, Confidence Evolution, and Layer 7 Evaluation</w:t>
            </w:r>
          </w:p>
        </w:tc>
      </w:tr>
      <w:tr>
        <w:tc>
          <w:tcPr>
            <w:tcW w:type="dxa" w:w="2200"/>
          </w:tcPr>
          <w:p>
            <w:pPr>
              <w:spacing w:after="0"/>
            </w:pPr>
            <w:r>
              <w:rPr>
                <w:rFonts w:ascii="Calibri" w:hAnsi="Calibri"/>
                <w:color w:val="1F2937"/>
                <w:sz w:val="17"/>
              </w:rPr>
              <w:t>Repository baseline</w:t>
            </w:r>
          </w:p>
        </w:tc>
        <w:tc>
          <w:tcPr>
            <w:tcW w:type="dxa" w:w="7160"/>
          </w:tcPr>
          <w:p>
            <w:pPr>
              <w:spacing w:after="0"/>
            </w:pPr>
            <w:r>
              <w:rPr>
                <w:rFonts w:ascii="Calibri" w:hAnsi="Calibri"/>
                <w:color w:val="1F2937"/>
                <w:sz w:val="17"/>
              </w:rPr>
              <w:t>main at 61a9e885; Rider Manager reviewed at d143819</w:t>
            </w:r>
          </w:p>
        </w:tc>
      </w:tr>
      <w:tr>
        <w:tc>
          <w:tcPr>
            <w:tcW w:type="dxa" w:w="2200"/>
          </w:tcPr>
          <w:p>
            <w:pPr>
              <w:spacing w:after="0"/>
            </w:pPr>
            <w:r>
              <w:rPr>
                <w:rFonts w:ascii="Calibri" w:hAnsi="Calibri"/>
                <w:color w:val="1F2937"/>
                <w:sz w:val="17"/>
              </w:rPr>
              <w:t>Status</w:t>
            </w:r>
          </w:p>
        </w:tc>
        <w:tc>
          <w:tcPr>
            <w:tcW w:type="dxa" w:w="7160"/>
          </w:tcPr>
          <w:p>
            <w:pPr>
              <w:spacing w:after="0"/>
            </w:pPr>
            <w:r>
              <w:rPr>
                <w:rFonts w:ascii="Calibri" w:hAnsi="Calibri"/>
                <w:color w:val="1F2937"/>
                <w:sz w:val="17"/>
              </w:rPr>
              <w:t>Implementation-ready roadmap; no product code generated</w:t>
            </w:r>
          </w:p>
        </w:tc>
      </w:tr>
      <w:tr>
        <w:tc>
          <w:tcPr>
            <w:tcW w:type="dxa" w:w="2200"/>
          </w:tcPr>
          <w:p>
            <w:pPr>
              <w:spacing w:after="0"/>
            </w:pPr>
            <w:r>
              <w:rPr>
                <w:rFonts w:ascii="Calibri" w:hAnsi="Calibri"/>
                <w:color w:val="1F2937"/>
                <w:sz w:val="17"/>
              </w:rPr>
              <w:t>Planning horizon</w:t>
            </w:r>
          </w:p>
        </w:tc>
        <w:tc>
          <w:tcPr>
            <w:tcW w:type="dxa" w:w="7160"/>
          </w:tcPr>
          <w:p>
            <w:pPr>
              <w:spacing w:after="0"/>
            </w:pPr>
            <w:r>
              <w:rPr>
                <w:rFonts w:ascii="Calibri" w:hAnsi="Calibri"/>
                <w:color w:val="1F2937"/>
                <w:sz w:val="17"/>
              </w:rPr>
              <w:t>Incremental, five-year maintainability</w:t>
            </w:r>
          </w:p>
        </w:tc>
      </w:tr>
    </w:tbl>
    <w:p>
      <w:pPr>
        <w:spacing w:after="40"/>
      </w:pPr>
    </w:p>
    <w:p>
      <w:pPr>
        <w:spacing w:before="100" w:after="160"/>
        <w:ind w:left="216" w:right="216"/>
        <w:shd w:fill="F4F6F9"/>
      </w:pPr>
      <w:r>
        <w:rPr>
          <w:rFonts w:ascii="Calibri" w:hAnsi="Calibri"/>
          <w:b/>
          <w:color w:val="2E74B5"/>
        </w:rPr>
        <w:t xml:space="preserve">Architecture guardrail  </w:t>
      </w:r>
      <w:r>
        <w:t>The architecture is frozen. This roadmap sequences implementation and extraction only. Any deviation requires a documented impossibility, an architecture decision record, and explicit approval.</w:t>
      </w:r>
    </w:p>
    <w:p>
      <w:r>
        <w:br w:type="page"/>
      </w:r>
    </w:p>
    <w:p>
      <w:pPr>
        <w:pStyle w:val="Heading1"/>
      </w:pPr>
      <w:r>
        <w:t>Executive Summary</w:t>
      </w:r>
    </w:p>
    <w:p>
      <w:pPr>
        <w:spacing w:after="120"/>
      </w:pPr>
      <w:r>
        <w:rPr>
          <w:rFonts w:ascii="Calibri" w:hAnsi="Calibri"/>
          <w:b w:val="0"/>
          <w:i w:val="0"/>
        </w:rPr>
        <w:t>CannonMap can reach the approved architecture without a rewrite. The safe path is to establish testable seams around the existing application, extract stable capabilities from app.js in dependency order, introduce offline-first domain stores, and add server-authoritative intelligence processing behind feature flags. Existing Rally Mode, GPS Checkpoints integration, stationary events, Rider Manager, imports/exports, and offline shell remain operational throughout.</w:t>
      </w:r>
    </w:p>
    <w:p>
      <w:pPr>
        <w:pStyle w:val="ListBullet"/>
        <w:ind w:left="720" w:hanging="360"/>
      </w:pPr>
      <w:r>
        <w:t>Freeze behavior first: characterize public functions, state mutations, IndexedDB writes, service-worker behavior, and Firebase listener ownership.</w:t>
      </w:r>
    </w:p>
    <w:p>
      <w:pPr>
        <w:pStyle w:val="ListBullet"/>
        <w:ind w:left="720" w:hanging="360"/>
      </w:pPr>
      <w:r>
        <w:t>Extract leaf utilities and adapters before orchestration. app.js remains the composition root until late in the program.</w:t>
      </w:r>
    </w:p>
    <w:p>
      <w:pPr>
        <w:pStyle w:val="ListBullet"/>
        <w:ind w:left="720" w:hanging="360"/>
      </w:pPr>
      <w:r>
        <w:t>Adopt append-only observations and explicit state machines. Never retrofit inferred state as observed fact.</w:t>
      </w:r>
    </w:p>
    <w:p>
      <w:pPr>
        <w:pStyle w:val="ListBullet"/>
        <w:ind w:left="720" w:hanging="360"/>
      </w:pPr>
      <w:r>
        <w:t>Separate Route Families from Route Variants: family aggregate statistics never replace independent variant statistics.</w:t>
      </w:r>
    </w:p>
    <w:p>
      <w:pPr>
        <w:pStyle w:val="ListBullet"/>
        <w:ind w:left="720" w:hanging="360"/>
      </w:pPr>
      <w:r>
        <w:t>Represent seven confidence dimensions independently; prohibit a single combined confidence score in contracts and UI.</w:t>
      </w:r>
    </w:p>
    <w:p>
      <w:pPr>
        <w:pStyle w:val="ListBullet"/>
        <w:ind w:left="720" w:hanging="360"/>
      </w:pPr>
      <w:r>
        <w:t>Publish intelligence through staged, auditable transitions; Layer 7 evaluates recommendations only after outcomes and never updates models during an active rally.</w:t>
      </w:r>
    </w:p>
    <w:p>
      <w:pPr>
        <w:pStyle w:val="ListBullet"/>
        <w:ind w:left="720" w:hanging="360"/>
      </w:pPr>
      <w:r>
        <w:t>Use shadow writes, dual reads, reconciliation reports, and reversible feature flags for every persistent migration.</w:t>
      </w:r>
    </w:p>
    <w:p>
      <w:pPr>
        <w:pStyle w:val="Heading2"/>
      </w:pPr>
      <w:r>
        <w:t>Reading Guide</w:t>
      </w:r>
    </w:p>
    <w:tbl>
      <w:tblPr>
        <w:tblStyle w:val="TableGrid"/>
        <w:tblW w:type="dxa" w:w="9360"/>
        <w:jc w:val="left"/>
        <w:tblLayout w:type="fixed"/>
        <w:tblLook w:firstColumn="1" w:firstRow="1" w:lastColumn="0" w:lastRow="0" w:noHBand="0" w:noVBand="1" w:val="04A0"/>
        <w:tblInd w:w="120" w:type="dxa"/>
      </w:tblPr>
      <w:tblGrid>
        <w:gridCol w:w="1200"/>
        <w:gridCol w:w="8160"/>
      </w:tblGrid>
      <w:tr>
        <w:trPr>
          <w:tblHeader w:val="true"/>
        </w:trPr>
        <w:tc>
          <w:tcPr>
            <w:tcW w:type="dxa" w:w="1200"/>
            <w:vAlign w:val="top"/>
            <w:tcMar>
              <w:top w:w="80" w:type="dxa"/>
              <w:bottom w:w="80" w:type="dxa"/>
              <w:start w:w="120" w:type="dxa"/>
              <w:end w:w="120" w:type="dxa"/>
            </w:tcMar>
            <w:shd w:fill="F2F4F7"/>
          </w:tcPr>
          <w:p>
            <w:pPr>
              <w:spacing w:after="0"/>
            </w:pPr>
            <w:r>
              <w:rPr>
                <w:rFonts w:ascii="Calibri" w:hAnsi="Calibri"/>
                <w:b/>
                <w:color w:val="18324A"/>
                <w:sz w:val="18"/>
              </w:rPr>
              <w:t>Part</w:t>
            </w:r>
          </w:p>
        </w:tc>
        <w:tc>
          <w:tcPr>
            <w:tcW w:type="dxa" w:w="8160"/>
            <w:vAlign w:val="top"/>
            <w:tcMar>
              <w:top w:w="80" w:type="dxa"/>
              <w:bottom w:w="80" w:type="dxa"/>
              <w:start w:w="120" w:type="dxa"/>
              <w:end w:w="120" w:type="dxa"/>
            </w:tcMar>
            <w:shd w:fill="F2F4F7"/>
          </w:tcPr>
          <w:p>
            <w:pPr>
              <w:spacing w:after="0"/>
            </w:pPr>
            <w:r>
              <w:rPr>
                <w:rFonts w:ascii="Calibri" w:hAnsi="Calibri"/>
                <w:b/>
                <w:color w:val="18324A"/>
                <w:sz w:val="18"/>
              </w:rPr>
              <w:t>Purpose</w:t>
            </w:r>
          </w:p>
        </w:tc>
      </w:tr>
      <w:tr>
        <w:tc>
          <w:tcPr>
            <w:tcW w:type="dxa" w:w="1200"/>
          </w:tcPr>
          <w:p>
            <w:pPr>
              <w:spacing w:after="0"/>
            </w:pPr>
            <w:r>
              <w:rPr>
                <w:rFonts w:ascii="Calibri" w:hAnsi="Calibri"/>
                <w:color w:val="1F2937"/>
                <w:sz w:val="17"/>
              </w:rPr>
              <w:t>1–3</w:t>
            </w:r>
          </w:p>
        </w:tc>
        <w:tc>
          <w:tcPr>
            <w:tcW w:type="dxa" w:w="8160"/>
          </w:tcPr>
          <w:p>
            <w:pPr>
              <w:spacing w:after="0"/>
            </w:pPr>
            <w:r>
              <w:rPr>
                <w:rFonts w:ascii="Calibri" w:hAnsi="Calibri"/>
                <w:color w:val="1F2937"/>
                <w:sz w:val="17"/>
              </w:rPr>
              <w:t>Repository assessment, extraction order, and dependency graph</w:t>
            </w:r>
          </w:p>
        </w:tc>
      </w:tr>
      <w:tr>
        <w:tc>
          <w:tcPr>
            <w:tcW w:type="dxa" w:w="1200"/>
          </w:tcPr>
          <w:p>
            <w:pPr>
              <w:spacing w:after="0"/>
            </w:pPr>
            <w:r>
              <w:rPr>
                <w:rFonts w:ascii="Calibri" w:hAnsi="Calibri"/>
                <w:color w:val="1F2937"/>
                <w:sz w:val="17"/>
              </w:rPr>
              <w:t>4–6</w:t>
            </w:r>
          </w:p>
        </w:tc>
        <w:tc>
          <w:tcPr>
            <w:tcW w:type="dxa" w:w="8160"/>
          </w:tcPr>
          <w:p>
            <w:pPr>
              <w:spacing w:after="0"/>
            </w:pPr>
            <w:r>
              <w:rPr>
                <w:rFonts w:ascii="Calibri" w:hAnsi="Calibri"/>
                <w:color w:val="1F2937"/>
                <w:sz w:val="17"/>
              </w:rPr>
              <w:t>Persistent schemas, Cloud Functions/APIs, and client runtime architecture</w:t>
            </w:r>
          </w:p>
        </w:tc>
      </w:tr>
      <w:tr>
        <w:tc>
          <w:tcPr>
            <w:tcW w:type="dxa" w:w="1200"/>
          </w:tcPr>
          <w:p>
            <w:pPr>
              <w:spacing w:after="0"/>
            </w:pPr>
            <w:r>
              <w:rPr>
                <w:rFonts w:ascii="Calibri" w:hAnsi="Calibri"/>
                <w:color w:val="1F2937"/>
                <w:sz w:val="17"/>
              </w:rPr>
              <w:t>7</w:t>
            </w:r>
          </w:p>
        </w:tc>
        <w:tc>
          <w:tcPr>
            <w:tcW w:type="dxa" w:w="8160"/>
          </w:tcPr>
          <w:p>
            <w:pPr>
              <w:spacing w:after="0"/>
            </w:pPr>
            <w:r>
              <w:rPr>
                <w:rFonts w:ascii="Calibri" w:hAnsi="Calibri"/>
                <w:color w:val="1F2937"/>
                <w:sz w:val="17"/>
              </w:rPr>
              <w:t>Independent delivery milestones with rollback and acceptance gates</w:t>
            </w:r>
          </w:p>
        </w:tc>
      </w:tr>
      <w:tr>
        <w:tc>
          <w:tcPr>
            <w:tcW w:type="dxa" w:w="1200"/>
          </w:tcPr>
          <w:p>
            <w:pPr>
              <w:spacing w:after="0"/>
            </w:pPr>
            <w:r>
              <w:rPr>
                <w:rFonts w:ascii="Calibri" w:hAnsi="Calibri"/>
                <w:color w:val="1F2937"/>
                <w:sz w:val="17"/>
              </w:rPr>
              <w:t>8–10</w:t>
            </w:r>
          </w:p>
        </w:tc>
        <w:tc>
          <w:tcPr>
            <w:tcW w:type="dxa" w:w="8160"/>
          </w:tcPr>
          <w:p>
            <w:pPr>
              <w:spacing w:after="0"/>
            </w:pPr>
            <w:r>
              <w:rPr>
                <w:rFonts w:ascii="Calibri" w:hAnsi="Calibri"/>
                <w:color w:val="1F2937"/>
                <w:sz w:val="17"/>
              </w:rPr>
              <w:t>Testing, performance/scaling, and security/privacy controls</w:t>
            </w:r>
          </w:p>
        </w:tc>
      </w:tr>
      <w:tr>
        <w:tc>
          <w:tcPr>
            <w:tcW w:type="dxa" w:w="1200"/>
          </w:tcPr>
          <w:p>
            <w:pPr>
              <w:spacing w:after="0"/>
            </w:pPr>
            <w:r>
              <w:rPr>
                <w:rFonts w:ascii="Calibri" w:hAnsi="Calibri"/>
                <w:color w:val="1F2937"/>
                <w:sz w:val="17"/>
              </w:rPr>
              <w:t>11–12</w:t>
            </w:r>
          </w:p>
        </w:tc>
        <w:tc>
          <w:tcPr>
            <w:tcW w:type="dxa" w:w="8160"/>
          </w:tcPr>
          <w:p>
            <w:pPr>
              <w:spacing w:after="0"/>
            </w:pPr>
            <w:r>
              <w:rPr>
                <w:rFonts w:ascii="Calibri" w:hAnsi="Calibri"/>
                <w:color w:val="1F2937"/>
                <w:sz w:val="17"/>
              </w:rPr>
              <w:t>Technical debt, deferrals, and agent-executable implementation order</w:t>
            </w:r>
          </w:p>
        </w:tc>
      </w:tr>
    </w:tbl>
    <w:p>
      <w:pPr>
        <w:spacing w:after="40"/>
      </w:pPr>
    </w:p>
    <w:p>
      <w:pPr>
        <w:pStyle w:val="Heading1"/>
      </w:pPr>
      <w:r>
        <w:t>Part 1 — Repository Assessment</w:t>
      </w:r>
    </w:p>
    <w:p>
      <w:pPr>
        <w:pStyle w:val="Heading2"/>
      </w:pPr>
      <w:r>
        <w:t>1.1 Current state</w:t>
      </w:r>
    </w:p>
    <w:tbl>
      <w:tblPr>
        <w:tblStyle w:val="TableGrid"/>
        <w:tblW w:type="dxa" w:w="9360"/>
        <w:jc w:val="left"/>
        <w:tblLayout w:type="fixed"/>
        <w:tblLook w:firstColumn="1" w:firstRow="1" w:lastColumn="0" w:lastRow="0" w:noHBand="0" w:noVBand="1" w:val="04A0"/>
        <w:tblInd w:w="120" w:type="dxa"/>
      </w:tblPr>
      <w:tblGrid>
        <w:gridCol w:w="1500"/>
        <w:gridCol w:w="3500"/>
        <w:gridCol w:w="4360"/>
      </w:tblGrid>
      <w:tr>
        <w:trPr>
          <w:tblHeader w:val="true"/>
        </w:trPr>
        <w:tc>
          <w:tcPr>
            <w:tcW w:type="dxa" w:w="1500"/>
            <w:vAlign w:val="top"/>
            <w:tcMar>
              <w:top w:w="80" w:type="dxa"/>
              <w:bottom w:w="80" w:type="dxa"/>
              <w:start w:w="120" w:type="dxa"/>
              <w:end w:w="120" w:type="dxa"/>
            </w:tcMar>
            <w:shd w:fill="F2F4F7"/>
          </w:tcPr>
          <w:p>
            <w:pPr>
              <w:spacing w:after="0"/>
            </w:pPr>
            <w:r>
              <w:rPr>
                <w:rFonts w:ascii="Calibri" w:hAnsi="Calibri"/>
                <w:b/>
                <w:color w:val="18324A"/>
                <w:sz w:val="18"/>
              </w:rPr>
              <w:t>Area</w:t>
            </w:r>
          </w:p>
        </w:tc>
        <w:tc>
          <w:tcPr>
            <w:tcW w:type="dxa" w:w="3500"/>
            <w:vAlign w:val="top"/>
            <w:tcMar>
              <w:top w:w="80" w:type="dxa"/>
              <w:bottom w:w="80" w:type="dxa"/>
              <w:start w:w="120" w:type="dxa"/>
              <w:end w:w="120" w:type="dxa"/>
            </w:tcMar>
            <w:shd w:fill="F2F4F7"/>
          </w:tcPr>
          <w:p>
            <w:pPr>
              <w:spacing w:after="0"/>
            </w:pPr>
            <w:r>
              <w:rPr>
                <w:rFonts w:ascii="Calibri" w:hAnsi="Calibri"/>
                <w:b/>
                <w:color w:val="18324A"/>
                <w:sz w:val="18"/>
              </w:rPr>
              <w:t>Current implementation</w:t>
            </w:r>
          </w:p>
        </w:tc>
        <w:tc>
          <w:tcPr>
            <w:tcW w:type="dxa" w:w="4360"/>
            <w:vAlign w:val="top"/>
            <w:tcMar>
              <w:top w:w="80" w:type="dxa"/>
              <w:bottom w:w="80" w:type="dxa"/>
              <w:start w:w="120" w:type="dxa"/>
              <w:end w:w="120" w:type="dxa"/>
            </w:tcMar>
            <w:shd w:fill="F2F4F7"/>
          </w:tcPr>
          <w:p>
            <w:pPr>
              <w:spacing w:after="0"/>
            </w:pPr>
            <w:r>
              <w:rPr>
                <w:rFonts w:ascii="Calibri" w:hAnsi="Calibri"/>
                <w:b/>
                <w:color w:val="18324A"/>
                <w:sz w:val="18"/>
              </w:rPr>
              <w:t>Roadmap implication</w:t>
            </w:r>
          </w:p>
        </w:tc>
      </w:tr>
      <w:tr>
        <w:tc>
          <w:tcPr>
            <w:tcW w:type="dxa" w:w="1500"/>
          </w:tcPr>
          <w:p>
            <w:pPr>
              <w:spacing w:after="0"/>
            </w:pPr>
            <w:r>
              <w:rPr>
                <w:rFonts w:ascii="Calibri" w:hAnsi="Calibri"/>
                <w:color w:val="1F2937"/>
                <w:sz w:val="17"/>
              </w:rPr>
              <w:t>Application shell</w:t>
            </w:r>
          </w:p>
        </w:tc>
        <w:tc>
          <w:tcPr>
            <w:tcW w:type="dxa" w:w="3500"/>
          </w:tcPr>
          <w:p>
            <w:pPr>
              <w:spacing w:after="0"/>
            </w:pPr>
            <w:r>
              <w:rPr>
                <w:rFonts w:ascii="Calibri" w:hAnsi="Calibri"/>
                <w:color w:val="1F2937"/>
                <w:sz w:val="17"/>
              </w:rPr>
              <w:t>Vanilla JS PWA; index.html, app.css, app.js</w:t>
            </w:r>
          </w:p>
        </w:tc>
        <w:tc>
          <w:tcPr>
            <w:tcW w:type="dxa" w:w="4360"/>
          </w:tcPr>
          <w:p>
            <w:pPr>
              <w:spacing w:after="0"/>
            </w:pPr>
            <w:r>
              <w:rPr>
                <w:rFonts w:ascii="Calibri" w:hAnsi="Calibri"/>
                <w:color w:val="1F2937"/>
                <w:sz w:val="17"/>
              </w:rPr>
              <w:t>Preserve no-build deployment; add ES modules incrementally.</w:t>
            </w:r>
          </w:p>
        </w:tc>
      </w:tr>
      <w:tr>
        <w:tc>
          <w:tcPr>
            <w:tcW w:type="dxa" w:w="1500"/>
          </w:tcPr>
          <w:p>
            <w:pPr>
              <w:spacing w:after="0"/>
            </w:pPr>
            <w:r>
              <w:rPr>
                <w:rFonts w:ascii="Calibri" w:hAnsi="Calibri"/>
                <w:color w:val="1F2937"/>
                <w:sz w:val="17"/>
              </w:rPr>
              <w:t>Composition</w:t>
            </w:r>
          </w:p>
        </w:tc>
        <w:tc>
          <w:tcPr>
            <w:tcW w:type="dxa" w:w="3500"/>
          </w:tcPr>
          <w:p>
            <w:pPr>
              <w:spacing w:after="0"/>
            </w:pPr>
            <w:r>
              <w:rPr>
                <w:rFonts w:ascii="Calibri" w:hAnsi="Calibri"/>
                <w:color w:val="1F2937"/>
                <w:sz w:val="17"/>
              </w:rPr>
              <w:t>app.js is ~1,491 lines and owns state, map, persistence, imports, weather, traffic, rally UI, and wiring</w:t>
            </w:r>
          </w:p>
        </w:tc>
        <w:tc>
          <w:tcPr>
            <w:tcW w:type="dxa" w:w="4360"/>
          </w:tcPr>
          <w:p>
            <w:pPr>
              <w:spacing w:after="0"/>
            </w:pPr>
            <w:r>
              <w:rPr>
                <w:rFonts w:ascii="Calibri" w:hAnsi="Calibri"/>
                <w:color w:val="1F2937"/>
                <w:sz w:val="17"/>
              </w:rPr>
              <w:t>Treat app.js as composition root; extract one capability per commit.</w:t>
            </w:r>
          </w:p>
        </w:tc>
      </w:tr>
      <w:tr>
        <w:tc>
          <w:tcPr>
            <w:tcW w:type="dxa" w:w="1500"/>
          </w:tcPr>
          <w:p>
            <w:pPr>
              <w:spacing w:after="0"/>
            </w:pPr>
            <w:r>
              <w:rPr>
                <w:rFonts w:ascii="Calibri" w:hAnsi="Calibri"/>
                <w:color w:val="1F2937"/>
                <w:sz w:val="17"/>
              </w:rPr>
              <w:t>Existing modules</w:t>
            </w:r>
          </w:p>
        </w:tc>
        <w:tc>
          <w:tcPr>
            <w:tcW w:type="dxa" w:w="3500"/>
          </w:tcPr>
          <w:p>
            <w:pPr>
              <w:spacing w:after="0"/>
            </w:pPr>
            <w:r>
              <w:rPr>
                <w:rFonts w:ascii="Calibri" w:hAnsi="Calibri"/>
                <w:color w:val="1F2937"/>
                <w:sz w:val="17"/>
              </w:rPr>
              <w:t>gps-checkpoints-feed.js, stationary-events.js, rider-preferences.js</w:t>
            </w:r>
          </w:p>
        </w:tc>
        <w:tc>
          <w:tcPr>
            <w:tcW w:type="dxa" w:w="4360"/>
          </w:tcPr>
          <w:p>
            <w:pPr>
              <w:spacing w:after="0"/>
            </w:pPr>
            <w:r>
              <w:rPr>
                <w:rFonts w:ascii="Calibri" w:hAnsi="Calibri"/>
                <w:color w:val="1F2937"/>
                <w:sz w:val="17"/>
              </w:rPr>
              <w:t>Use their UMD/factory style as transitional seams; migrate to explicit factories.</w:t>
            </w:r>
          </w:p>
        </w:tc>
      </w:tr>
      <w:tr>
        <w:tc>
          <w:tcPr>
            <w:tcW w:type="dxa" w:w="1500"/>
          </w:tcPr>
          <w:p>
            <w:pPr>
              <w:spacing w:after="0"/>
            </w:pPr>
            <w:r>
              <w:rPr>
                <w:rFonts w:ascii="Calibri" w:hAnsi="Calibri"/>
                <w:color w:val="1F2937"/>
                <w:sz w:val="17"/>
              </w:rPr>
              <w:t>Persistence</w:t>
            </w:r>
          </w:p>
        </w:tc>
        <w:tc>
          <w:tcPr>
            <w:tcW w:type="dxa" w:w="3500"/>
          </w:tcPr>
          <w:p>
            <w:pPr>
              <w:spacing w:after="0"/>
            </w:pPr>
            <w:r>
              <w:rPr>
                <w:rFonts w:ascii="Calibri" w:hAnsi="Calibri"/>
                <w:color w:val="1F2937"/>
                <w:sz w:val="17"/>
              </w:rPr>
              <w:t>One IndexedDB project store plus localStorage settings/snapshots/preferences</w:t>
            </w:r>
          </w:p>
        </w:tc>
        <w:tc>
          <w:tcPr>
            <w:tcW w:type="dxa" w:w="4360"/>
          </w:tcPr>
          <w:p>
            <w:pPr>
              <w:spacing w:after="0"/>
            </w:pPr>
            <w:r>
              <w:rPr>
                <w:rFonts w:ascii="Calibri" w:hAnsi="Calibri"/>
                <w:color w:val="1F2937"/>
                <w:sz w:val="17"/>
              </w:rPr>
              <w:t>Add versioned domain stores without replacing project storage initially.</w:t>
            </w:r>
          </w:p>
        </w:tc>
      </w:tr>
      <w:tr>
        <w:tc>
          <w:tcPr>
            <w:tcW w:type="dxa" w:w="1500"/>
          </w:tcPr>
          <w:p>
            <w:pPr>
              <w:spacing w:after="0"/>
            </w:pPr>
            <w:r>
              <w:rPr>
                <w:rFonts w:ascii="Calibri" w:hAnsi="Calibri"/>
                <w:color w:val="1F2937"/>
                <w:sz w:val="17"/>
              </w:rPr>
              <w:t>Realtime</w:t>
            </w:r>
          </w:p>
        </w:tc>
        <w:tc>
          <w:tcPr>
            <w:tcW w:type="dxa" w:w="3500"/>
          </w:tcPr>
          <w:p>
            <w:pPr>
              <w:spacing w:after="0"/>
            </w:pPr>
            <w:r>
              <w:rPr>
                <w:rFonts w:ascii="Calibri" w:hAnsi="Calibri"/>
                <w:color w:val="1F2937"/>
                <w:sz w:val="17"/>
              </w:rPr>
              <w:t>Firebase 8 browser SDK; two RTDB subscriptions owned by feed adapter</w:t>
            </w:r>
          </w:p>
        </w:tc>
        <w:tc>
          <w:tcPr>
            <w:tcW w:type="dxa" w:w="4360"/>
          </w:tcPr>
          <w:p>
            <w:pPr>
              <w:spacing w:after="0"/>
            </w:pPr>
            <w:r>
              <w:rPr>
                <w:rFonts w:ascii="Calibri" w:hAnsi="Calibri"/>
                <w:color w:val="1F2937"/>
                <w:sz w:val="17"/>
              </w:rPr>
              <w:t>Centralize listener ownership; no UI component may subscribe directly.</w:t>
            </w:r>
          </w:p>
        </w:tc>
      </w:tr>
      <w:tr>
        <w:tc>
          <w:tcPr>
            <w:tcW w:type="dxa" w:w="1500"/>
          </w:tcPr>
          <w:p>
            <w:pPr>
              <w:spacing w:after="0"/>
            </w:pPr>
            <w:r>
              <w:rPr>
                <w:rFonts w:ascii="Calibri" w:hAnsi="Calibri"/>
                <w:color w:val="1F2937"/>
                <w:sz w:val="17"/>
              </w:rPr>
              <w:t>Offline</w:t>
            </w:r>
          </w:p>
        </w:tc>
        <w:tc>
          <w:tcPr>
            <w:tcW w:type="dxa" w:w="3500"/>
          </w:tcPr>
          <w:p>
            <w:pPr>
              <w:spacing w:after="0"/>
            </w:pPr>
            <w:r>
              <w:rPr>
                <w:rFonts w:ascii="Calibri" w:hAnsi="Calibri"/>
                <w:color w:val="1F2937"/>
                <w:sz w:val="17"/>
              </w:rPr>
              <w:t>Service-worker application shell; last-known local project</w:t>
            </w:r>
          </w:p>
        </w:tc>
        <w:tc>
          <w:tcPr>
            <w:tcW w:type="dxa" w:w="4360"/>
          </w:tcPr>
          <w:p>
            <w:pPr>
              <w:spacing w:after="0"/>
            </w:pPr>
            <w:r>
              <w:rPr>
                <w:rFonts w:ascii="Calibri" w:hAnsi="Calibri"/>
                <w:color w:val="1F2937"/>
                <w:sz w:val="17"/>
              </w:rPr>
              <w:t>Add durable outbox, reconciliation, and opt-in Background Sync.</w:t>
            </w:r>
          </w:p>
        </w:tc>
      </w:tr>
      <w:tr>
        <w:tc>
          <w:tcPr>
            <w:tcW w:type="dxa" w:w="1500"/>
          </w:tcPr>
          <w:p>
            <w:pPr>
              <w:spacing w:after="0"/>
            </w:pPr>
            <w:r>
              <w:rPr>
                <w:rFonts w:ascii="Calibri" w:hAnsi="Calibri"/>
                <w:color w:val="1F2937"/>
                <w:sz w:val="17"/>
              </w:rPr>
              <w:t>Tests</w:t>
            </w:r>
          </w:p>
        </w:tc>
        <w:tc>
          <w:tcPr>
            <w:tcW w:type="dxa" w:w="3500"/>
          </w:tcPr>
          <w:p>
            <w:pPr>
              <w:spacing w:after="0"/>
            </w:pPr>
            <w:r>
              <w:rPr>
                <w:rFonts w:ascii="Calibri" w:hAnsi="Calibri"/>
                <w:color w:val="1F2937"/>
                <w:sz w:val="17"/>
              </w:rPr>
              <w:t>Node tests and serial Playwright across phone/desktop profiles</w:t>
            </w:r>
          </w:p>
        </w:tc>
        <w:tc>
          <w:tcPr>
            <w:tcW w:type="dxa" w:w="4360"/>
          </w:tcPr>
          <w:p>
            <w:pPr>
              <w:spacing w:after="0"/>
            </w:pPr>
            <w:r>
              <w:rPr>
                <w:rFonts w:ascii="Calibri" w:hAnsi="Calibri"/>
                <w:color w:val="1F2937"/>
                <w:sz w:val="17"/>
              </w:rPr>
              <w:t>Every extraction must preserve the authoritative serial baseline.</w:t>
            </w:r>
          </w:p>
        </w:tc>
      </w:tr>
      <w:tr>
        <w:tc>
          <w:tcPr>
            <w:tcW w:type="dxa" w:w="1500"/>
          </w:tcPr>
          <w:p>
            <w:pPr>
              <w:spacing w:after="0"/>
            </w:pPr>
            <w:r>
              <w:rPr>
                <w:rFonts w:ascii="Calibri" w:hAnsi="Calibri"/>
                <w:color w:val="1F2937"/>
                <w:sz w:val="17"/>
              </w:rPr>
              <w:t>Deployment</w:t>
            </w:r>
          </w:p>
        </w:tc>
        <w:tc>
          <w:tcPr>
            <w:tcW w:type="dxa" w:w="3500"/>
          </w:tcPr>
          <w:p>
            <w:pPr>
              <w:spacing w:after="0"/>
            </w:pPr>
            <w:r>
              <w:rPr>
                <w:rFonts w:ascii="Calibri" w:hAnsi="Calibri"/>
                <w:color w:val="1F2937"/>
                <w:sz w:val="17"/>
              </w:rPr>
              <w:t>Static host with locally vendored browser dependencies</w:t>
            </w:r>
          </w:p>
        </w:tc>
        <w:tc>
          <w:tcPr>
            <w:tcW w:type="dxa" w:w="4360"/>
          </w:tcPr>
          <w:p>
            <w:pPr>
              <w:spacing w:after="0"/>
            </w:pPr>
            <w:r>
              <w:rPr>
                <w:rFonts w:ascii="Calibri" w:hAnsi="Calibri"/>
                <w:color w:val="1F2937"/>
                <w:sz w:val="17"/>
              </w:rPr>
              <w:t>Cloud Functions are additive; PWA remains deployable independently.</w:t>
            </w:r>
          </w:p>
        </w:tc>
      </w:tr>
    </w:tbl>
    <w:p>
      <w:pPr>
        <w:spacing w:after="40"/>
      </w:pPr>
    </w:p>
    <w:p>
      <w:pPr>
        <w:pStyle w:val="Heading2"/>
      </w:pPr>
      <w:r>
        <w:t>1.2 Existing strengths to preserve</w:t>
      </w:r>
    </w:p>
    <w:p>
      <w:pPr>
        <w:pStyle w:val="ListBullet"/>
        <w:ind w:left="720" w:hanging="360"/>
      </w:pPr>
      <w:r>
        <w:t>Dependency-free domain modules already exist for stationary-event detection and rider preferences.</w:t>
      </w:r>
    </w:p>
    <w:p>
      <w:pPr>
        <w:pStyle w:val="ListBullet"/>
        <w:ind w:left="720" w:hanging="360"/>
      </w:pPr>
      <w:r>
        <w:t>GPS feed normalization separates REST metadata from Firebase event/location subscriptions.</w:t>
      </w:r>
    </w:p>
    <w:p>
      <w:pPr>
        <w:pStyle w:val="ListBullet"/>
        <w:ind w:left="720" w:hanging="360"/>
      </w:pPr>
      <w:r>
        <w:t>Runtime dependencies are pinned, vendored, validated, and cached locally.</w:t>
      </w:r>
    </w:p>
    <w:p>
      <w:pPr>
        <w:pStyle w:val="ListBullet"/>
        <w:ind w:left="720" w:hanging="360"/>
      </w:pPr>
      <w:r>
        <w:t>Startup readiness is deterministic and optional Firebase/SheetJS failures do not block the base shell.</w:t>
      </w:r>
    </w:p>
    <w:p>
      <w:pPr>
        <w:pStyle w:val="ListBullet"/>
        <w:ind w:left="720" w:hanging="360"/>
      </w:pPr>
      <w:r>
        <w:t>The test matrix covers mobile Rally Mode, startup, offline shell, imports/exports, feed normalization, stationary events, and Rider Manager.</w:t>
      </w:r>
    </w:p>
    <w:p>
      <w:pPr>
        <w:pStyle w:val="Heading2"/>
      </w:pPr>
      <w:r>
        <w:t>1.3 Expected directory structure</w:t>
      </w:r>
    </w:p>
    <w:p>
      <w:pPr>
        <w:pStyle w:val="CodeBlock"/>
        <w:shd w:fill="F6F8FA"/>
      </w:pPr>
      <w:r>
        <w:t>/</w:t>
        <w:br/>
        <w:t xml:space="preserve">  index.html                 # stable PWA entry</w:t>
        <w:br/>
        <w:t xml:space="preserve">  app.js                     # transitional composition root; eventually bootstrap only</w:t>
        <w:br/>
        <w:t xml:space="preserve">  src/</w:t>
        <w:br/>
        <w:t xml:space="preserve">    core/                    # event-bus, state-store, clock, ids, errors, config</w:t>
        <w:br/>
        <w:t xml:space="preserve">    domain/</w:t>
        <w:br/>
        <w:t xml:space="preserve">      observations/          # collector, quality, observation state machine</w:t>
        <w:br/>
        <w:t xml:space="preserve">      checkpoints/           # lifecycle and checkpoint intelligence</w:t>
        <w:br/>
        <w:t xml:space="preserve">      commitment/            # explainable inference only</w:t>
        <w:br/>
        <w:t xml:space="preserve">      routes/                # families, variants, DNA lifecycle/statistics</w:t>
        <w:br/>
        <w:t xml:space="preserve">      confidence/            # seven independent dimensions + evolution</w:t>
        <w:br/>
        <w:t xml:space="preserve">      intelligence/          # validation, publication, evaluation, notification</w:t>
        <w:br/>
        <w:t xml:space="preserve">      compatibility/         # explainable rider compatibility</w:t>
        <w:br/>
        <w:t xml:space="preserve">      network/               # user-controlled intelligence network</w:t>
        <w:br/>
        <w:t xml:space="preserve">    application/             # use cases/orchestrators; no DOM or Firebase calls</w:t>
        <w:br/>
        <w:t xml:space="preserve">    infrastructure/</w:t>
        <w:br/>
        <w:t xml:space="preserve">      indexeddb/             # schema, migrations, repositories, outbox</w:t>
        <w:br/>
        <w:t xml:space="preserve">      firebase/              # RTDB adapters, auth, rules contract</w:t>
        <w:br/>
        <w:t xml:space="preserve">      sync/                  # queue, retry, reconciliation, background sync</w:t>
        <w:br/>
        <w:t xml:space="preserve">      cache/                 # aggregate and DNA caches</w:t>
        <w:br/>
        <w:t xml:space="preserve">    ui/</w:t>
        <w:br/>
        <w:t xml:space="preserve">      map/                   # Leaflet engine and layer registry</w:t>
        <w:br/>
        <w:t xml:space="preserve">      rally/                 # Rally Mode presenters/controllers</w:t>
        <w:br/>
        <w:t xml:space="preserve">      rider-manager/         # DOM rendering only</w:t>
        <w:br/>
        <w:t xml:space="preserve">      planner/               # Geoman and project editing</w:t>
        <w:br/>
        <w:t xml:space="preserve">    integrations/            # GPS Checkpoints, weather, traffic, export</w:t>
        <w:br/>
        <w:t xml:space="preserve">  functions/src/             # Cloud Functions and shared server contracts</w:t>
        <w:br/>
        <w:t xml:space="preserve">  shared/contracts/          # JSON schemas, enums, validation, schema versions</w:t>
        <w:br/>
        <w:t xml:space="preserve">  tests/{unit,integration,browser,offline,performance,fixtures}</w:t>
        <w:br/>
        <w:t xml:space="preserve">  docs/{architecture,decisions,migrations,runbooks}</w:t>
      </w:r>
    </w:p>
    <w:p>
      <w:pPr>
        <w:pStyle w:val="Heading2"/>
      </w:pPr>
      <w:r>
        <w:t>1.4 Coding conventions</w:t>
      </w:r>
    </w:p>
    <w:p>
      <w:pPr>
        <w:pStyle w:val="ListBullet"/>
        <w:ind w:left="720" w:hanging="360"/>
      </w:pPr>
      <w:r>
        <w:t>Factories with injected dependencies; no hidden singleton except the top-level composition root.</w:t>
      </w:r>
    </w:p>
    <w:p>
      <w:pPr>
        <w:pStyle w:val="ListBullet"/>
        <w:ind w:left="720" w:hanging="360"/>
      </w:pPr>
      <w:r>
        <w:t>Pure domain functions where possible; side effects only in infrastructure and UI adapters.</w:t>
      </w:r>
    </w:p>
    <w:p>
      <w:pPr>
        <w:pStyle w:val="ListBullet"/>
        <w:ind w:left="720" w:hanging="360"/>
      </w:pPr>
      <w:r>
        <w:t>Explicit event names in past tense (observation.captured) and commands in imperative form (PublishIntelligence).</w:t>
      </w:r>
    </w:p>
    <w:p>
      <w:pPr>
        <w:pStyle w:val="ListBullet"/>
        <w:ind w:left="720" w:hanging="360"/>
      </w:pPr>
      <w:r>
        <w:t>All persisted records carry schemaVersion, createdAt, updatedAt, eventId, and deterministic/idempotency keys.</w:t>
      </w:r>
    </w:p>
    <w:p>
      <w:pPr>
        <w:pStyle w:val="ListBullet"/>
        <w:ind w:left="720" w:hanging="360"/>
      </w:pPr>
      <w:r>
        <w:t>All inferences carry evidenceRefs, algorithmVersion, inputs, output, and explanation; observed fields never contain inferred values.</w:t>
      </w:r>
    </w:p>
    <w:p>
      <w:pPr>
        <w:pStyle w:val="ListBullet"/>
        <w:ind w:left="720" w:hanging="360"/>
      </w:pPr>
      <w:r>
        <w:t>Use integer milliseconds in storage and ISO-8601 only at external/document boundaries.</w:t>
      </w:r>
    </w:p>
    <w:p>
      <w:pPr>
        <w:pStyle w:val="ListBullet"/>
        <w:ind w:left="720" w:hanging="360"/>
      </w:pPr>
      <w:r>
        <w:t>No module imports app.js; app.js imports modules. Lower architecture layers never import higher layers.</w:t>
      </w:r>
    </w:p>
    <w:p>
      <w:pPr>
        <w:pStyle w:val="ListBullet"/>
        <w:ind w:left="720" w:hanging="360"/>
      </w:pPr>
      <w:r>
        <w:t>One concern per commit, tests in the same commit, docs/ADR when a durable contract changes.</w:t>
      </w:r>
    </w:p>
    <w:p>
      <w:pPr>
        <w:pStyle w:val="Heading1"/>
      </w:pPr>
      <w:r>
        <w:t>Part 2 — Refactoring Strategy</w:t>
      </w:r>
    </w:p>
    <w:p>
      <w:pPr>
        <w:spacing w:after="120"/>
      </w:pPr>
      <w:r>
        <w:rPr>
          <w:rFonts w:ascii="Calibri" w:hAnsi="Calibri"/>
          <w:b w:val="0"/>
          <w:i w:val="0"/>
        </w:rPr>
        <w:t>Extraction follows the strangler pattern. Each step adds a seam, moves behavior unchanged, runs the full baseline, and leaves a one-commit rollback. New subsystems start only after their prerequisite seams are stable.</w:t>
      </w:r>
    </w:p>
    <w:tbl>
      <w:tblPr>
        <w:tblStyle w:val="TableGrid"/>
        <w:tblW w:type="dxa" w:w="9360"/>
        <w:jc w:val="left"/>
        <w:tblLayout w:type="fixed"/>
        <w:tblLook w:firstColumn="1" w:firstRow="1" w:lastColumn="0" w:lastRow="0" w:noHBand="0" w:noVBand="1" w:val="04A0"/>
        <w:tblInd w:w="120" w:type="dxa"/>
      </w:tblPr>
      <w:tblGrid>
        <w:gridCol w:w="650"/>
        <w:gridCol w:w="1350"/>
        <w:gridCol w:w="2100"/>
        <w:gridCol w:w="2200"/>
        <w:gridCol w:w="3060"/>
      </w:tblGrid>
      <w:tr>
        <w:trPr>
          <w:tblHeader w:val="true"/>
        </w:trPr>
        <w:tc>
          <w:tcPr>
            <w:tcW w:type="dxa" w:w="650"/>
            <w:vAlign w:val="top"/>
            <w:tcMar>
              <w:top w:w="80" w:type="dxa"/>
              <w:bottom w:w="80" w:type="dxa"/>
              <w:start w:w="120" w:type="dxa"/>
              <w:end w:w="120" w:type="dxa"/>
            </w:tcMar>
            <w:shd w:fill="F2F4F7"/>
          </w:tcPr>
          <w:p>
            <w:pPr>
              <w:spacing w:after="0"/>
            </w:pPr>
            <w:r>
              <w:rPr>
                <w:rFonts w:ascii="Calibri" w:hAnsi="Calibri"/>
                <w:b/>
                <w:color w:val="18324A"/>
                <w:sz w:val="18"/>
              </w:rPr>
              <w:t>Order</w:t>
            </w:r>
          </w:p>
        </w:tc>
        <w:tc>
          <w:tcPr>
            <w:tcW w:type="dxa" w:w="1350"/>
            <w:vAlign w:val="top"/>
            <w:tcMar>
              <w:top w:w="80" w:type="dxa"/>
              <w:bottom w:w="80" w:type="dxa"/>
              <w:start w:w="120" w:type="dxa"/>
              <w:end w:w="120" w:type="dxa"/>
            </w:tcMar>
            <w:shd w:fill="F2F4F7"/>
          </w:tcPr>
          <w:p>
            <w:pPr>
              <w:spacing w:after="0"/>
            </w:pPr>
            <w:r>
              <w:rPr>
                <w:rFonts w:ascii="Calibri" w:hAnsi="Calibri"/>
                <w:b/>
                <w:color w:val="18324A"/>
                <w:sz w:val="18"/>
              </w:rPr>
              <w:t>Extraction</w:t>
            </w:r>
          </w:p>
        </w:tc>
        <w:tc>
          <w:tcPr>
            <w:tcW w:type="dxa" w:w="2100"/>
            <w:vAlign w:val="top"/>
            <w:tcMar>
              <w:top w:w="80" w:type="dxa"/>
              <w:bottom w:w="80" w:type="dxa"/>
              <w:start w:w="120" w:type="dxa"/>
              <w:end w:w="120" w:type="dxa"/>
            </w:tcMar>
            <w:shd w:fill="F2F4F7"/>
          </w:tcPr>
          <w:p>
            <w:pPr>
              <w:spacing w:after="0"/>
            </w:pPr>
            <w:r>
              <w:rPr>
                <w:rFonts w:ascii="Calibri" w:hAnsi="Calibri"/>
                <w:b/>
                <w:color w:val="18324A"/>
                <w:sz w:val="18"/>
              </w:rPr>
              <w:t>From app.js</w:t>
            </w:r>
          </w:p>
        </w:tc>
        <w:tc>
          <w:tcPr>
            <w:tcW w:type="dxa" w:w="2200"/>
            <w:vAlign w:val="top"/>
            <w:tcMar>
              <w:top w:w="80" w:type="dxa"/>
              <w:bottom w:w="80" w:type="dxa"/>
              <w:start w:w="120" w:type="dxa"/>
              <w:end w:w="120" w:type="dxa"/>
            </w:tcMar>
            <w:shd w:fill="F2F4F7"/>
          </w:tcPr>
          <w:p>
            <w:pPr>
              <w:spacing w:after="0"/>
            </w:pPr>
            <w:r>
              <w:rPr>
                <w:rFonts w:ascii="Calibri" w:hAnsi="Calibri"/>
                <w:b/>
                <w:color w:val="18324A"/>
                <w:sz w:val="18"/>
              </w:rPr>
              <w:t>Destination</w:t>
            </w:r>
          </w:p>
        </w:tc>
        <w:tc>
          <w:tcPr>
            <w:tcW w:type="dxa" w:w="3060"/>
            <w:vAlign w:val="top"/>
            <w:tcMar>
              <w:top w:w="80" w:type="dxa"/>
              <w:bottom w:w="80" w:type="dxa"/>
              <w:start w:w="120" w:type="dxa"/>
              <w:end w:w="120" w:type="dxa"/>
            </w:tcMar>
            <w:shd w:fill="F2F4F7"/>
          </w:tcPr>
          <w:p>
            <w:pPr>
              <w:spacing w:after="0"/>
            </w:pPr>
            <w:r>
              <w:rPr>
                <w:rFonts w:ascii="Calibri" w:hAnsi="Calibri"/>
                <w:b/>
                <w:color w:val="18324A"/>
                <w:sz w:val="18"/>
              </w:rPr>
              <w:t>Proof of equivalence</w:t>
            </w:r>
          </w:p>
        </w:tc>
      </w:tr>
      <w:tr>
        <w:tc>
          <w:tcPr>
            <w:tcW w:type="dxa" w:w="650"/>
          </w:tcPr>
          <w:p>
            <w:pPr>
              <w:spacing w:after="0"/>
            </w:pPr>
            <w:r>
              <w:rPr>
                <w:rFonts w:ascii="Calibri" w:hAnsi="Calibri"/>
                <w:color w:val="1F2937"/>
                <w:sz w:val="17"/>
              </w:rPr>
              <w:t>1</w:t>
            </w:r>
          </w:p>
        </w:tc>
        <w:tc>
          <w:tcPr>
            <w:tcW w:type="dxa" w:w="1350"/>
          </w:tcPr>
          <w:p>
            <w:pPr>
              <w:spacing w:after="0"/>
            </w:pPr>
            <w:r>
              <w:rPr>
                <w:rFonts w:ascii="Calibri" w:hAnsi="Calibri"/>
                <w:color w:val="1F2937"/>
                <w:sz w:val="17"/>
              </w:rPr>
              <w:t>Core utilities</w:t>
            </w:r>
          </w:p>
        </w:tc>
        <w:tc>
          <w:tcPr>
            <w:tcW w:type="dxa" w:w="2100"/>
          </w:tcPr>
          <w:p>
            <w:pPr>
              <w:spacing w:after="0"/>
            </w:pPr>
            <w:r>
              <w:rPr>
                <w:rFonts w:ascii="Calibri" w:hAnsi="Calibri"/>
                <w:color w:val="1F2937"/>
                <w:sz w:val="17"/>
              </w:rPr>
              <w:t>IDs, escaping, geometry math, clocks</w:t>
            </w:r>
          </w:p>
        </w:tc>
        <w:tc>
          <w:tcPr>
            <w:tcW w:type="dxa" w:w="2200"/>
          </w:tcPr>
          <w:p>
            <w:pPr>
              <w:spacing w:after="0"/>
            </w:pPr>
            <w:r>
              <w:rPr>
                <w:rFonts w:ascii="Calibri" w:hAnsi="Calibri"/>
                <w:color w:val="1F2937"/>
                <w:sz w:val="17"/>
              </w:rPr>
              <w:t>src/core + src/domain/geo</w:t>
            </w:r>
          </w:p>
        </w:tc>
        <w:tc>
          <w:tcPr>
            <w:tcW w:type="dxa" w:w="3060"/>
          </w:tcPr>
          <w:p>
            <w:pPr>
              <w:spacing w:after="0"/>
            </w:pPr>
            <w:r>
              <w:rPr>
                <w:rFonts w:ascii="Calibri" w:hAnsi="Calibri"/>
                <w:color w:val="1F2937"/>
                <w:sz w:val="17"/>
              </w:rPr>
              <w:t>Unit vectors; no DOM.</w:t>
            </w:r>
          </w:p>
        </w:tc>
      </w:tr>
      <w:tr>
        <w:tc>
          <w:tcPr>
            <w:tcW w:type="dxa" w:w="650"/>
          </w:tcPr>
          <w:p>
            <w:pPr>
              <w:spacing w:after="0"/>
            </w:pPr>
            <w:r>
              <w:rPr>
                <w:rFonts w:ascii="Calibri" w:hAnsi="Calibri"/>
                <w:color w:val="1F2937"/>
                <w:sz w:val="17"/>
              </w:rPr>
              <w:t>2</w:t>
            </w:r>
          </w:p>
        </w:tc>
        <w:tc>
          <w:tcPr>
            <w:tcW w:type="dxa" w:w="1350"/>
          </w:tcPr>
          <w:p>
            <w:pPr>
              <w:spacing w:after="0"/>
            </w:pPr>
            <w:r>
              <w:rPr>
                <w:rFonts w:ascii="Calibri" w:hAnsi="Calibri"/>
                <w:color w:val="1F2937"/>
                <w:sz w:val="17"/>
              </w:rPr>
              <w:t>Persistence adapter</w:t>
            </w:r>
          </w:p>
        </w:tc>
        <w:tc>
          <w:tcPr>
            <w:tcW w:type="dxa" w:w="2100"/>
          </w:tcPr>
          <w:p>
            <w:pPr>
              <w:spacing w:after="0"/>
            </w:pPr>
            <w:r>
              <w:rPr>
                <w:rFonts w:ascii="Calibri" w:hAnsi="Calibri"/>
                <w:color w:val="1F2937"/>
                <w:sz w:val="17"/>
              </w:rPr>
              <w:t>openDatabase, load/save project, snapshots</w:t>
            </w:r>
          </w:p>
        </w:tc>
        <w:tc>
          <w:tcPr>
            <w:tcW w:type="dxa" w:w="2200"/>
          </w:tcPr>
          <w:p>
            <w:pPr>
              <w:spacing w:after="0"/>
            </w:pPr>
            <w:r>
              <w:rPr>
                <w:rFonts w:ascii="Calibri" w:hAnsi="Calibri"/>
                <w:color w:val="1F2937"/>
                <w:sz w:val="17"/>
              </w:rPr>
              <w:t>src/infrastructure/indexeddb</w:t>
            </w:r>
          </w:p>
        </w:tc>
        <w:tc>
          <w:tcPr>
            <w:tcW w:type="dxa" w:w="3060"/>
          </w:tcPr>
          <w:p>
            <w:pPr>
              <w:spacing w:after="0"/>
            </w:pPr>
            <w:r>
              <w:rPr>
                <w:rFonts w:ascii="Calibri" w:hAnsi="Calibri"/>
                <w:color w:val="1F2937"/>
                <w:sz w:val="17"/>
              </w:rPr>
              <w:t>Round-trip and migration fixtures.</w:t>
            </w:r>
          </w:p>
        </w:tc>
      </w:tr>
      <w:tr>
        <w:tc>
          <w:tcPr>
            <w:tcW w:type="dxa" w:w="650"/>
          </w:tcPr>
          <w:p>
            <w:pPr>
              <w:spacing w:after="0"/>
            </w:pPr>
            <w:r>
              <w:rPr>
                <w:rFonts w:ascii="Calibri" w:hAnsi="Calibri"/>
                <w:color w:val="1F2937"/>
                <w:sz w:val="17"/>
              </w:rPr>
              <w:t>3</w:t>
            </w:r>
          </w:p>
        </w:tc>
        <w:tc>
          <w:tcPr>
            <w:tcW w:type="dxa" w:w="1350"/>
          </w:tcPr>
          <w:p>
            <w:pPr>
              <w:spacing w:after="0"/>
            </w:pPr>
            <w:r>
              <w:rPr>
                <w:rFonts w:ascii="Calibri" w:hAnsi="Calibri"/>
                <w:color w:val="1F2937"/>
                <w:sz w:val="17"/>
              </w:rPr>
              <w:t>State store/event bus</w:t>
            </w:r>
          </w:p>
        </w:tc>
        <w:tc>
          <w:tcPr>
            <w:tcW w:type="dxa" w:w="2100"/>
          </w:tcPr>
          <w:p>
            <w:pPr>
              <w:spacing w:after="0"/>
            </w:pPr>
            <w:r>
              <w:rPr>
                <w:rFonts w:ascii="Calibri" w:hAnsi="Calibri"/>
                <w:color w:val="1F2937"/>
                <w:sz w:val="17"/>
              </w:rPr>
              <w:t>global state mutations and render fan-out</w:t>
            </w:r>
          </w:p>
        </w:tc>
        <w:tc>
          <w:tcPr>
            <w:tcW w:type="dxa" w:w="2200"/>
          </w:tcPr>
          <w:p>
            <w:pPr>
              <w:spacing w:after="0"/>
            </w:pPr>
            <w:r>
              <w:rPr>
                <w:rFonts w:ascii="Calibri" w:hAnsi="Calibri"/>
                <w:color w:val="1F2937"/>
                <w:sz w:val="17"/>
              </w:rPr>
              <w:t>src/core/state-store, event-bus</w:t>
            </w:r>
          </w:p>
        </w:tc>
        <w:tc>
          <w:tcPr>
            <w:tcW w:type="dxa" w:w="3060"/>
          </w:tcPr>
          <w:p>
            <w:pPr>
              <w:spacing w:after="0"/>
            </w:pPr>
            <w:r>
              <w:rPr>
                <w:rFonts w:ascii="Calibri" w:hAnsi="Calibri"/>
                <w:color w:val="1F2937"/>
                <w:sz w:val="17"/>
              </w:rPr>
              <w:t>Mutation log equals existing behavior.</w:t>
            </w:r>
          </w:p>
        </w:tc>
      </w:tr>
      <w:tr>
        <w:tc>
          <w:tcPr>
            <w:tcW w:type="dxa" w:w="650"/>
          </w:tcPr>
          <w:p>
            <w:pPr>
              <w:spacing w:after="0"/>
            </w:pPr>
            <w:r>
              <w:rPr>
                <w:rFonts w:ascii="Calibri" w:hAnsi="Calibri"/>
                <w:color w:val="1F2937"/>
                <w:sz w:val="17"/>
              </w:rPr>
              <w:t>4</w:t>
            </w:r>
          </w:p>
        </w:tc>
        <w:tc>
          <w:tcPr>
            <w:tcW w:type="dxa" w:w="1350"/>
          </w:tcPr>
          <w:p>
            <w:pPr>
              <w:spacing w:after="0"/>
            </w:pPr>
            <w:r>
              <w:rPr>
                <w:rFonts w:ascii="Calibri" w:hAnsi="Calibri"/>
                <w:color w:val="1F2937"/>
                <w:sz w:val="17"/>
              </w:rPr>
              <w:t>Map engine</w:t>
            </w:r>
          </w:p>
        </w:tc>
        <w:tc>
          <w:tcPr>
            <w:tcW w:type="dxa" w:w="2100"/>
          </w:tcPr>
          <w:p>
            <w:pPr>
              <w:spacing w:after="0"/>
            </w:pPr>
            <w:r>
              <w:rPr>
                <w:rFonts w:ascii="Calibri" w:hAnsi="Calibri"/>
                <w:color w:val="1F2937"/>
                <w:sz w:val="17"/>
              </w:rPr>
              <w:t>Leaflet initialization, layer registry, fit/zoom</w:t>
            </w:r>
          </w:p>
        </w:tc>
        <w:tc>
          <w:tcPr>
            <w:tcW w:type="dxa" w:w="2200"/>
          </w:tcPr>
          <w:p>
            <w:pPr>
              <w:spacing w:after="0"/>
            </w:pPr>
            <w:r>
              <w:rPr>
                <w:rFonts w:ascii="Calibri" w:hAnsi="Calibri"/>
                <w:color w:val="1F2937"/>
                <w:sz w:val="17"/>
              </w:rPr>
              <w:t>src/ui/map</w:t>
            </w:r>
          </w:p>
        </w:tc>
        <w:tc>
          <w:tcPr>
            <w:tcW w:type="dxa" w:w="3060"/>
          </w:tcPr>
          <w:p>
            <w:pPr>
              <w:spacing w:after="0"/>
            </w:pPr>
            <w:r>
              <w:rPr>
                <w:rFonts w:ascii="Calibri" w:hAnsi="Calibri"/>
                <w:color w:val="1F2937"/>
                <w:sz w:val="17"/>
              </w:rPr>
              <w:t>Visual snapshots and layer counts.</w:t>
            </w:r>
          </w:p>
        </w:tc>
      </w:tr>
      <w:tr>
        <w:tc>
          <w:tcPr>
            <w:tcW w:type="dxa" w:w="650"/>
          </w:tcPr>
          <w:p>
            <w:pPr>
              <w:spacing w:after="0"/>
            </w:pPr>
            <w:r>
              <w:rPr>
                <w:rFonts w:ascii="Calibri" w:hAnsi="Calibri"/>
                <w:color w:val="1F2937"/>
                <w:sz w:val="17"/>
              </w:rPr>
              <w:t>5</w:t>
            </w:r>
          </w:p>
        </w:tc>
        <w:tc>
          <w:tcPr>
            <w:tcW w:type="dxa" w:w="1350"/>
          </w:tcPr>
          <w:p>
            <w:pPr>
              <w:spacing w:after="0"/>
            </w:pPr>
            <w:r>
              <w:rPr>
                <w:rFonts w:ascii="Calibri" w:hAnsi="Calibri"/>
                <w:color w:val="1F2937"/>
                <w:sz w:val="17"/>
              </w:rPr>
              <w:t>Project/import/export</w:t>
            </w:r>
          </w:p>
        </w:tc>
        <w:tc>
          <w:tcPr>
            <w:tcW w:type="dxa" w:w="2100"/>
          </w:tcPr>
          <w:p>
            <w:pPr>
              <w:spacing w:after="0"/>
            </w:pPr>
            <w:r>
              <w:rPr>
                <w:rFonts w:ascii="Calibri" w:hAnsi="Calibri"/>
                <w:color w:val="1F2937"/>
                <w:sz w:val="17"/>
              </w:rPr>
              <w:t>GPX/project parse, duplicate logic, exports</w:t>
            </w:r>
          </w:p>
        </w:tc>
        <w:tc>
          <w:tcPr>
            <w:tcW w:type="dxa" w:w="2200"/>
          </w:tcPr>
          <w:p>
            <w:pPr>
              <w:spacing w:after="0"/>
            </w:pPr>
            <w:r>
              <w:rPr>
                <w:rFonts w:ascii="Calibri" w:hAnsi="Calibri"/>
                <w:color w:val="1F2937"/>
                <w:sz w:val="17"/>
              </w:rPr>
              <w:t>src/application/project + integrations</w:t>
            </w:r>
          </w:p>
        </w:tc>
        <w:tc>
          <w:tcPr>
            <w:tcW w:type="dxa" w:w="3060"/>
          </w:tcPr>
          <w:p>
            <w:pPr>
              <w:spacing w:after="0"/>
            </w:pPr>
            <w:r>
              <w:rPr>
                <w:rFonts w:ascii="Calibri" w:hAnsi="Calibri"/>
                <w:color w:val="1F2937"/>
                <w:sz w:val="17"/>
              </w:rPr>
              <w:t>Golden fixture byte/semantic comparisons.</w:t>
            </w:r>
          </w:p>
        </w:tc>
      </w:tr>
      <w:tr>
        <w:tc>
          <w:tcPr>
            <w:tcW w:type="dxa" w:w="650"/>
          </w:tcPr>
          <w:p>
            <w:pPr>
              <w:spacing w:after="0"/>
            </w:pPr>
            <w:r>
              <w:rPr>
                <w:rFonts w:ascii="Calibri" w:hAnsi="Calibri"/>
                <w:color w:val="1F2937"/>
                <w:sz w:val="17"/>
              </w:rPr>
              <w:t>6</w:t>
            </w:r>
          </w:p>
        </w:tc>
        <w:tc>
          <w:tcPr>
            <w:tcW w:type="dxa" w:w="1350"/>
          </w:tcPr>
          <w:p>
            <w:pPr>
              <w:spacing w:after="0"/>
            </w:pPr>
            <w:r>
              <w:rPr>
                <w:rFonts w:ascii="Calibri" w:hAnsi="Calibri"/>
                <w:color w:val="1F2937"/>
                <w:sz w:val="17"/>
              </w:rPr>
              <w:t>Competitor/rider presentation</w:t>
            </w:r>
          </w:p>
        </w:tc>
        <w:tc>
          <w:tcPr>
            <w:tcW w:type="dxa" w:w="2100"/>
          </w:tcPr>
          <w:p>
            <w:pPr>
              <w:spacing w:after="0"/>
            </w:pPr>
            <w:r>
              <w:rPr>
                <w:rFonts w:ascii="Calibri" w:hAnsi="Calibri"/>
                <w:color w:val="1F2937"/>
                <w:sz w:val="17"/>
              </w:rPr>
              <w:t>rendering and Rider Manager DOM</w:t>
            </w:r>
          </w:p>
        </w:tc>
        <w:tc>
          <w:tcPr>
            <w:tcW w:type="dxa" w:w="2200"/>
          </w:tcPr>
          <w:p>
            <w:pPr>
              <w:spacing w:after="0"/>
            </w:pPr>
            <w:r>
              <w:rPr>
                <w:rFonts w:ascii="Calibri" w:hAnsi="Calibri"/>
                <w:color w:val="1F2937"/>
                <w:sz w:val="17"/>
              </w:rPr>
              <w:t>src/ui/rally, ui/rider-manager</w:t>
            </w:r>
          </w:p>
        </w:tc>
        <w:tc>
          <w:tcPr>
            <w:tcW w:type="dxa" w:w="3060"/>
          </w:tcPr>
          <w:p>
            <w:pPr>
              <w:spacing w:after="0"/>
            </w:pPr>
            <w:r>
              <w:rPr>
                <w:rFonts w:ascii="Calibri" w:hAnsi="Calibri"/>
                <w:color w:val="1F2937"/>
                <w:sz w:val="17"/>
              </w:rPr>
              <w:t>Existing 35-case Rider Manager matrix.</w:t>
            </w:r>
          </w:p>
        </w:tc>
      </w:tr>
      <w:tr>
        <w:tc>
          <w:tcPr>
            <w:tcW w:type="dxa" w:w="650"/>
          </w:tcPr>
          <w:p>
            <w:pPr>
              <w:spacing w:after="0"/>
            </w:pPr>
            <w:r>
              <w:rPr>
                <w:rFonts w:ascii="Calibri" w:hAnsi="Calibri"/>
                <w:color w:val="1F2937"/>
                <w:sz w:val="17"/>
              </w:rPr>
              <w:t>7</w:t>
            </w:r>
          </w:p>
        </w:tc>
        <w:tc>
          <w:tcPr>
            <w:tcW w:type="dxa" w:w="1350"/>
          </w:tcPr>
          <w:p>
            <w:pPr>
              <w:spacing w:after="0"/>
            </w:pPr>
            <w:r>
              <w:rPr>
                <w:rFonts w:ascii="Calibri" w:hAnsi="Calibri"/>
                <w:color w:val="1F2937"/>
                <w:sz w:val="17"/>
              </w:rPr>
              <w:t>Rally checkpoint workflow</w:t>
            </w:r>
          </w:p>
        </w:tc>
        <w:tc>
          <w:tcPr>
            <w:tcW w:type="dxa" w:w="2100"/>
          </w:tcPr>
          <w:p>
            <w:pPr>
              <w:spacing w:after="0"/>
            </w:pPr>
            <w:r>
              <w:rPr>
                <w:rFonts w:ascii="Calibri" w:hAnsi="Calibri"/>
                <w:color w:val="1F2937"/>
                <w:sz w:val="17"/>
              </w:rPr>
              <w:t>checkpoint state and scoring</w:t>
            </w:r>
          </w:p>
        </w:tc>
        <w:tc>
          <w:tcPr>
            <w:tcW w:type="dxa" w:w="2200"/>
          </w:tcPr>
          <w:p>
            <w:pPr>
              <w:spacing w:after="0"/>
            </w:pPr>
            <w:r>
              <w:rPr>
                <w:rFonts w:ascii="Calibri" w:hAnsi="Calibri"/>
                <w:color w:val="1F2937"/>
                <w:sz w:val="17"/>
              </w:rPr>
              <w:t>src/domain/checkpoints + application/rally</w:t>
            </w:r>
          </w:p>
        </w:tc>
        <w:tc>
          <w:tcPr>
            <w:tcW w:type="dxa" w:w="3060"/>
          </w:tcPr>
          <w:p>
            <w:pPr>
              <w:spacing w:after="0"/>
            </w:pPr>
            <w:r>
              <w:rPr>
                <w:rFonts w:ascii="Calibri" w:hAnsi="Calibri"/>
                <w:color w:val="1F2937"/>
                <w:sz w:val="17"/>
              </w:rPr>
              <w:t>State-machine transition tests.</w:t>
            </w:r>
          </w:p>
        </w:tc>
      </w:tr>
      <w:tr>
        <w:tc>
          <w:tcPr>
            <w:tcW w:type="dxa" w:w="650"/>
          </w:tcPr>
          <w:p>
            <w:pPr>
              <w:spacing w:after="0"/>
            </w:pPr>
            <w:r>
              <w:rPr>
                <w:rFonts w:ascii="Calibri" w:hAnsi="Calibri"/>
                <w:color w:val="1F2937"/>
                <w:sz w:val="17"/>
              </w:rPr>
              <w:t>8</w:t>
            </w:r>
          </w:p>
        </w:tc>
        <w:tc>
          <w:tcPr>
            <w:tcW w:type="dxa" w:w="1350"/>
          </w:tcPr>
          <w:p>
            <w:pPr>
              <w:spacing w:after="0"/>
            </w:pPr>
            <w:r>
              <w:rPr>
                <w:rFonts w:ascii="Calibri" w:hAnsi="Calibri"/>
                <w:color w:val="1F2937"/>
                <w:sz w:val="17"/>
              </w:rPr>
              <w:t>External intelligence</w:t>
            </w:r>
          </w:p>
        </w:tc>
        <w:tc>
          <w:tcPr>
            <w:tcW w:type="dxa" w:w="2100"/>
          </w:tcPr>
          <w:p>
            <w:pPr>
              <w:spacing w:after="0"/>
            </w:pPr>
            <w:r>
              <w:rPr>
                <w:rFonts w:ascii="Calibri" w:hAnsi="Calibri"/>
                <w:color w:val="1F2937"/>
                <w:sz w:val="17"/>
              </w:rPr>
              <w:t>weather, radar, traffic</w:t>
            </w:r>
          </w:p>
        </w:tc>
        <w:tc>
          <w:tcPr>
            <w:tcW w:type="dxa" w:w="2200"/>
          </w:tcPr>
          <w:p>
            <w:pPr>
              <w:spacing w:after="0"/>
            </w:pPr>
            <w:r>
              <w:rPr>
                <w:rFonts w:ascii="Calibri" w:hAnsi="Calibri"/>
                <w:color w:val="1F2937"/>
                <w:sz w:val="17"/>
              </w:rPr>
              <w:t>src/integrations</w:t>
            </w:r>
          </w:p>
        </w:tc>
        <w:tc>
          <w:tcPr>
            <w:tcW w:type="dxa" w:w="3060"/>
          </w:tcPr>
          <w:p>
            <w:pPr>
              <w:spacing w:after="0"/>
            </w:pPr>
            <w:r>
              <w:rPr>
                <w:rFonts w:ascii="Calibri" w:hAnsi="Calibri"/>
                <w:color w:val="1F2937"/>
                <w:sz w:val="17"/>
              </w:rPr>
              <w:t>Mocked contract and abort/retry tests.</w:t>
            </w:r>
          </w:p>
        </w:tc>
      </w:tr>
      <w:tr>
        <w:tc>
          <w:tcPr>
            <w:tcW w:type="dxa" w:w="650"/>
          </w:tcPr>
          <w:p>
            <w:pPr>
              <w:spacing w:after="0"/>
            </w:pPr>
            <w:r>
              <w:rPr>
                <w:rFonts w:ascii="Calibri" w:hAnsi="Calibri"/>
                <w:color w:val="1F2937"/>
                <w:sz w:val="17"/>
              </w:rPr>
              <w:t>9</w:t>
            </w:r>
          </w:p>
        </w:tc>
        <w:tc>
          <w:tcPr>
            <w:tcW w:type="dxa" w:w="1350"/>
          </w:tcPr>
          <w:p>
            <w:pPr>
              <w:spacing w:after="0"/>
            </w:pPr>
            <w:r>
              <w:rPr>
                <w:rFonts w:ascii="Calibri" w:hAnsi="Calibri"/>
                <w:color w:val="1F2937"/>
                <w:sz w:val="17"/>
              </w:rPr>
              <w:t>Bootstrap/wiring</w:t>
            </w:r>
          </w:p>
        </w:tc>
        <w:tc>
          <w:tcPr>
            <w:tcW w:type="dxa" w:w="2100"/>
          </w:tcPr>
          <w:p>
            <w:pPr>
              <w:spacing w:after="0"/>
            </w:pPr>
            <w:r>
              <w:rPr>
                <w:rFonts w:ascii="Calibri" w:hAnsi="Calibri"/>
                <w:color w:val="1F2937"/>
                <w:sz w:val="17"/>
              </w:rPr>
              <w:t>wireUi, renderAll, initialization</w:t>
            </w:r>
          </w:p>
        </w:tc>
        <w:tc>
          <w:tcPr>
            <w:tcW w:type="dxa" w:w="2200"/>
          </w:tcPr>
          <w:p>
            <w:pPr>
              <w:spacing w:after="0"/>
            </w:pPr>
            <w:r>
              <w:rPr>
                <w:rFonts w:ascii="Calibri" w:hAnsi="Calibri"/>
                <w:color w:val="1F2937"/>
                <w:sz w:val="17"/>
              </w:rPr>
              <w:t>src/bootstrap.js; app.js shim</w:t>
            </w:r>
          </w:p>
        </w:tc>
        <w:tc>
          <w:tcPr>
            <w:tcW w:type="dxa" w:w="3060"/>
          </w:tcPr>
          <w:p>
            <w:pPr>
              <w:spacing w:after="0"/>
            </w:pPr>
            <w:r>
              <w:rPr>
                <w:rFonts w:ascii="Calibri" w:hAnsi="Calibri"/>
                <w:color w:val="1F2937"/>
                <w:sz w:val="17"/>
              </w:rPr>
              <w:t>All 85 browser cases unchanged.</w:t>
            </w:r>
          </w:p>
        </w:tc>
      </w:tr>
    </w:tbl>
    <w:p>
      <w:pPr>
        <w:spacing w:after="40"/>
      </w:pPr>
    </w:p>
    <w:p>
      <w:pPr>
        <w:pStyle w:val="Heading2"/>
      </w:pPr>
      <w:r>
        <w:t>2.1 Extraction rules</w:t>
      </w:r>
    </w:p>
    <w:p>
      <w:pPr>
        <w:pStyle w:val="ListBullet"/>
        <w:ind w:left="720" w:hanging="360"/>
      </w:pPr>
      <w:r>
        <w:t>Do not combine extraction with behavior changes, schema migrations, or UI redesign.</w:t>
      </w:r>
    </w:p>
    <w:p>
      <w:pPr>
        <w:pStyle w:val="ListBullet"/>
        <w:ind w:left="720" w:hanging="360"/>
      </w:pPr>
      <w:r>
        <w:t>Add contract tests against existing behavior before moving code.</w:t>
      </w:r>
    </w:p>
    <w:p>
      <w:pPr>
        <w:pStyle w:val="ListBullet"/>
        <w:ind w:left="720" w:hanging="360"/>
      </w:pPr>
      <w:r>
        <w:t>Keep temporary compatibility facades so index.html and CannonMapTest remain stable.</w:t>
      </w:r>
    </w:p>
    <w:p>
      <w:pPr>
        <w:pStyle w:val="ListBullet"/>
        <w:ind w:left="720" w:hanging="360"/>
      </w:pPr>
      <w:r>
        <w:t>Move one dependency direction at a time; reject circular imports.</w:t>
      </w:r>
    </w:p>
    <w:p>
      <w:pPr>
        <w:pStyle w:val="ListBullet"/>
        <w:ind w:left="720" w:hanging="360"/>
      </w:pPr>
      <w:r>
        <w:t>Gate new domain subsystems behind disabled-by-default configuration until shadow validation passes.</w:t>
      </w:r>
    </w:p>
    <w:p>
      <w:pPr>
        <w:pStyle w:val="ListBullet"/>
        <w:ind w:left="720" w:hanging="360"/>
      </w:pPr>
      <w:r>
        <w:t>Delete legacy paths only after two releases with reconciliation telemetry and rollback rehearsal.</w:t>
      </w:r>
    </w:p>
    <w:p>
      <w:pPr>
        <w:pStyle w:val="Heading1"/>
      </w:pPr>
      <w:r>
        <w:t>Part 3 — Dependency Graph</w:t>
      </w:r>
    </w:p>
    <w:p>
      <w:pPr>
        <w:pStyle w:val="Heading2"/>
      </w:pPr>
      <w:r>
        <w:t>3.1 Layer graph</w:t>
      </w:r>
    </w:p>
    <w:p>
      <w:pPr>
        <w:pStyle w:val="CodeBlock"/>
        <w:shd w:fill="F6F8FA"/>
      </w:pPr>
      <w:r>
        <w:t>bootstrap</w:t>
        <w:br/>
        <w:t xml:space="preserve">  ├─ UI controllers ──&gt; application use cases ──&gt; domain services</w:t>
        <w:br/>
        <w:t xml:space="preserve">  │       └─ map engine            │                 │</w:t>
        <w:br/>
        <w:t xml:space="preserve">  │                                ├─ repositories ──┤</w:t>
        <w:br/>
        <w:t xml:space="preserve">  │                                └─ event bus      │</w:t>
        <w:br/>
        <w:t xml:space="preserve">  └─ infrastructure adapters &lt;──── interfaces &lt;──────┘</w:t>
        <w:br/>
        <w:br/>
        <w:t>Domain pipeline (upward only):</w:t>
        <w:br/>
        <w:t>L0 Raw Observation</w:t>
        <w:br/>
        <w:t xml:space="preserve">  → Quality + Commitment inference</w:t>
        <w:br/>
        <w:t xml:space="preserve">  → Completed Observation</w:t>
        <w:br/>
        <w:t xml:space="preserve">  → Validated Observation</w:t>
        <w:br/>
        <w:t xml:space="preserve">  → L1 Crowd Intelligence</w:t>
        <w:br/>
        <w:t xml:space="preserve">  → L2 My Intelligence Network</w:t>
        <w:br/>
        <w:t xml:space="preserve">  → L3 Compatibility</w:t>
        <w:br/>
        <w:t xml:space="preserve">  → L4 Route Family / Variant DNA</w:t>
        <w:br/>
        <w:t xml:space="preserve">  → L5 Checkpoint Intelligence</w:t>
        <w:br/>
        <w:t xml:space="preserve">  → L6 Co-Driver Publication</w:t>
        <w:br/>
        <w:t xml:space="preserve">  → L7 Intelligence Evaluation</w:t>
      </w:r>
    </w:p>
    <w:p>
      <w:pPr>
        <w:pStyle w:val="Heading2"/>
      </w:pPr>
      <w:r>
        <w:t>3.2 Module dependencies</w:t>
      </w:r>
    </w:p>
    <w:tbl>
      <w:tblPr>
        <w:tblStyle w:val="TableGrid"/>
        <w:tblW w:type="dxa" w:w="9360"/>
        <w:jc w:val="left"/>
        <w:tblLayout w:type="fixed"/>
        <w:tblLook w:firstColumn="1" w:firstRow="1" w:lastColumn="0" w:lastRow="0" w:noHBand="0" w:noVBand="1" w:val="04A0"/>
        <w:tblInd w:w="120" w:type="dxa"/>
      </w:tblPr>
      <w:tblGrid>
        <w:gridCol w:w="1800"/>
        <w:gridCol w:w="4000"/>
        <w:gridCol w:w="3560"/>
      </w:tblGrid>
      <w:tr>
        <w:trPr>
          <w:tblHeader w:val="true"/>
        </w:trPr>
        <w:tc>
          <w:tcPr>
            <w:tcW w:type="dxa" w:w="1800"/>
            <w:vAlign w:val="top"/>
            <w:tcMar>
              <w:top w:w="80" w:type="dxa"/>
              <w:bottom w:w="80" w:type="dxa"/>
              <w:start w:w="120" w:type="dxa"/>
              <w:end w:w="120" w:type="dxa"/>
            </w:tcMar>
            <w:shd w:fill="F2F4F7"/>
          </w:tcPr>
          <w:p>
            <w:pPr>
              <w:spacing w:after="0"/>
            </w:pPr>
            <w:r>
              <w:rPr>
                <w:rFonts w:ascii="Calibri" w:hAnsi="Calibri"/>
                <w:b/>
                <w:color w:val="18324A"/>
                <w:sz w:val="18"/>
              </w:rPr>
              <w:t>Module</w:t>
            </w:r>
          </w:p>
        </w:tc>
        <w:tc>
          <w:tcPr>
            <w:tcW w:type="dxa" w:w="4000"/>
            <w:vAlign w:val="top"/>
            <w:tcMar>
              <w:top w:w="80" w:type="dxa"/>
              <w:bottom w:w="80" w:type="dxa"/>
              <w:start w:w="120" w:type="dxa"/>
              <w:end w:w="120" w:type="dxa"/>
            </w:tcMar>
            <w:shd w:fill="F2F4F7"/>
          </w:tcPr>
          <w:p>
            <w:pPr>
              <w:spacing w:after="0"/>
            </w:pPr>
            <w:r>
              <w:rPr>
                <w:rFonts w:ascii="Calibri" w:hAnsi="Calibri"/>
                <w:b/>
                <w:color w:val="18324A"/>
                <w:sz w:val="18"/>
              </w:rPr>
              <w:t>May depend on</w:t>
            </w:r>
          </w:p>
        </w:tc>
        <w:tc>
          <w:tcPr>
            <w:tcW w:type="dxa" w:w="3560"/>
            <w:vAlign w:val="top"/>
            <w:tcMar>
              <w:top w:w="80" w:type="dxa"/>
              <w:bottom w:w="80" w:type="dxa"/>
              <w:start w:w="120" w:type="dxa"/>
              <w:end w:w="120" w:type="dxa"/>
            </w:tcMar>
            <w:shd w:fill="F2F4F7"/>
          </w:tcPr>
          <w:p>
            <w:pPr>
              <w:spacing w:after="0"/>
            </w:pPr>
            <w:r>
              <w:rPr>
                <w:rFonts w:ascii="Calibri" w:hAnsi="Calibri"/>
                <w:b/>
                <w:color w:val="18324A"/>
                <w:sz w:val="18"/>
              </w:rPr>
              <w:t>Must not depend on</w:t>
            </w:r>
          </w:p>
        </w:tc>
      </w:tr>
      <w:tr>
        <w:tc>
          <w:tcPr>
            <w:tcW w:type="dxa" w:w="1800"/>
          </w:tcPr>
          <w:p>
            <w:pPr>
              <w:spacing w:after="0"/>
            </w:pPr>
            <w:r>
              <w:rPr>
                <w:rFonts w:ascii="Calibri" w:hAnsi="Calibri"/>
                <w:color w:val="1F2937"/>
                <w:sz w:val="17"/>
              </w:rPr>
              <w:t>ObservationCollector</w:t>
            </w:r>
          </w:p>
        </w:tc>
        <w:tc>
          <w:tcPr>
            <w:tcW w:type="dxa" w:w="4000"/>
          </w:tcPr>
          <w:p>
            <w:pPr>
              <w:spacing w:after="0"/>
            </w:pPr>
            <w:r>
              <w:rPr>
                <w:rFonts w:ascii="Calibri" w:hAnsi="Calibri"/>
                <w:color w:val="1F2937"/>
                <w:sz w:val="17"/>
              </w:rPr>
              <w:t>clock, sensor ports, observation repository, event bus</w:t>
            </w:r>
          </w:p>
        </w:tc>
        <w:tc>
          <w:tcPr>
            <w:tcW w:type="dxa" w:w="3560"/>
          </w:tcPr>
          <w:p>
            <w:pPr>
              <w:spacing w:after="0"/>
            </w:pPr>
            <w:r>
              <w:rPr>
                <w:rFonts w:ascii="Calibri" w:hAnsi="Calibri"/>
                <w:color w:val="1F2937"/>
                <w:sz w:val="17"/>
              </w:rPr>
              <w:t>DOM, Firebase SDK, route/intelligence engines</w:t>
            </w:r>
          </w:p>
        </w:tc>
      </w:tr>
      <w:tr>
        <w:tc>
          <w:tcPr>
            <w:tcW w:type="dxa" w:w="1800"/>
          </w:tcPr>
          <w:p>
            <w:pPr>
              <w:spacing w:after="0"/>
            </w:pPr>
            <w:r>
              <w:rPr>
                <w:rFonts w:ascii="Calibri" w:hAnsi="Calibri"/>
                <w:color w:val="1F2937"/>
                <w:sz w:val="17"/>
              </w:rPr>
              <w:t>QualityScorer</w:t>
            </w:r>
          </w:p>
        </w:tc>
        <w:tc>
          <w:tcPr>
            <w:tcW w:type="dxa" w:w="4000"/>
          </w:tcPr>
          <w:p>
            <w:pPr>
              <w:spacing w:after="0"/>
            </w:pPr>
            <w:r>
              <w:rPr>
                <w:rFonts w:ascii="Calibri" w:hAnsi="Calibri"/>
                <w:color w:val="1F2937"/>
                <w:sz w:val="17"/>
              </w:rPr>
              <w:t>observation contract, deterministic math</w:t>
            </w:r>
          </w:p>
        </w:tc>
        <w:tc>
          <w:tcPr>
            <w:tcW w:type="dxa" w:w="3560"/>
          </w:tcPr>
          <w:p>
            <w:pPr>
              <w:spacing w:after="0"/>
            </w:pPr>
            <w:r>
              <w:rPr>
                <w:rFonts w:ascii="Calibri" w:hAnsi="Calibri"/>
                <w:color w:val="1F2937"/>
                <w:sz w:val="17"/>
              </w:rPr>
              <w:t>UI, network, publication</w:t>
            </w:r>
          </w:p>
        </w:tc>
      </w:tr>
      <w:tr>
        <w:tc>
          <w:tcPr>
            <w:tcW w:type="dxa" w:w="1800"/>
          </w:tcPr>
          <w:p>
            <w:pPr>
              <w:spacing w:after="0"/>
            </w:pPr>
            <w:r>
              <w:rPr>
                <w:rFonts w:ascii="Calibri" w:hAnsi="Calibri"/>
                <w:color w:val="1F2937"/>
                <w:sz w:val="17"/>
              </w:rPr>
              <w:t>CommitmentEngine</w:t>
            </w:r>
          </w:p>
        </w:tc>
        <w:tc>
          <w:tcPr>
            <w:tcW w:type="dxa" w:w="4000"/>
          </w:tcPr>
          <w:p>
            <w:pPr>
              <w:spacing w:after="0"/>
            </w:pPr>
            <w:r>
              <w:rPr>
                <w:rFonts w:ascii="Calibri" w:hAnsi="Calibri"/>
                <w:color w:val="1F2937"/>
                <w:sz w:val="17"/>
              </w:rPr>
              <w:t>validated recent observations, checkpoint geometry, clock</w:t>
            </w:r>
          </w:p>
        </w:tc>
        <w:tc>
          <w:tcPr>
            <w:tcW w:type="dxa" w:w="3560"/>
          </w:tcPr>
          <w:p>
            <w:pPr>
              <w:spacing w:after="0"/>
            </w:pPr>
            <w:r>
              <w:rPr>
                <w:rFonts w:ascii="Calibri" w:hAnsi="Calibri"/>
                <w:color w:val="1F2937"/>
                <w:sz w:val="17"/>
              </w:rPr>
              <w:t>user-entered intent, Route Family output</w:t>
            </w:r>
          </w:p>
        </w:tc>
      </w:tr>
      <w:tr>
        <w:tc>
          <w:tcPr>
            <w:tcW w:type="dxa" w:w="1800"/>
          </w:tcPr>
          <w:p>
            <w:pPr>
              <w:spacing w:after="0"/>
            </w:pPr>
            <w:r>
              <w:rPr>
                <w:rFonts w:ascii="Calibri" w:hAnsi="Calibri"/>
                <w:color w:val="1F2937"/>
                <w:sz w:val="17"/>
              </w:rPr>
              <w:t>RouteFamilyEngine</w:t>
            </w:r>
          </w:p>
        </w:tc>
        <w:tc>
          <w:tcPr>
            <w:tcW w:type="dxa" w:w="4000"/>
          </w:tcPr>
          <w:p>
            <w:pPr>
              <w:spacing w:after="0"/>
            </w:pPr>
            <w:r>
              <w:rPr>
                <w:rFonts w:ascii="Calibri" w:hAnsi="Calibri"/>
                <w:color w:val="1F2937"/>
                <w:sz w:val="17"/>
              </w:rPr>
              <w:t>validated completed observations, commitment evidence, confidence dimensions</w:t>
            </w:r>
          </w:p>
        </w:tc>
        <w:tc>
          <w:tcPr>
            <w:tcW w:type="dxa" w:w="3560"/>
          </w:tcPr>
          <w:p>
            <w:pPr>
              <w:spacing w:after="0"/>
            </w:pPr>
            <w:r>
              <w:rPr>
                <w:rFonts w:ascii="Calibri" w:hAnsi="Calibri"/>
                <w:color w:val="1F2937"/>
                <w:sz w:val="17"/>
              </w:rPr>
              <w:t>UI, notifications</w:t>
            </w:r>
          </w:p>
        </w:tc>
      </w:tr>
      <w:tr>
        <w:tc>
          <w:tcPr>
            <w:tcW w:type="dxa" w:w="1800"/>
          </w:tcPr>
          <w:p>
            <w:pPr>
              <w:spacing w:after="0"/>
            </w:pPr>
            <w:r>
              <w:rPr>
                <w:rFonts w:ascii="Calibri" w:hAnsi="Calibri"/>
                <w:color w:val="1F2937"/>
                <w:sz w:val="17"/>
              </w:rPr>
              <w:t>ConfidenceEvolutionEngine</w:t>
            </w:r>
          </w:p>
        </w:tc>
        <w:tc>
          <w:tcPr>
            <w:tcW w:type="dxa" w:w="4000"/>
          </w:tcPr>
          <w:p>
            <w:pPr>
              <w:spacing w:after="0"/>
            </w:pPr>
            <w:r>
              <w:rPr>
                <w:rFonts w:ascii="Calibri" w:hAnsi="Calibri"/>
                <w:color w:val="1F2937"/>
                <w:sz w:val="17"/>
              </w:rPr>
              <w:t>evidence ledger, clocks, dimension policies</w:t>
            </w:r>
          </w:p>
        </w:tc>
        <w:tc>
          <w:tcPr>
            <w:tcW w:type="dxa" w:w="3560"/>
          </w:tcPr>
          <w:p>
            <w:pPr>
              <w:spacing w:after="0"/>
            </w:pPr>
            <w:r>
              <w:rPr>
                <w:rFonts w:ascii="Calibri" w:hAnsi="Calibri"/>
                <w:color w:val="1F2937"/>
                <w:sz w:val="17"/>
              </w:rPr>
              <w:t>single aggregate score</w:t>
            </w:r>
          </w:p>
        </w:tc>
      </w:tr>
      <w:tr>
        <w:tc>
          <w:tcPr>
            <w:tcW w:type="dxa" w:w="1800"/>
          </w:tcPr>
          <w:p>
            <w:pPr>
              <w:spacing w:after="0"/>
            </w:pPr>
            <w:r>
              <w:rPr>
                <w:rFonts w:ascii="Calibri" w:hAnsi="Calibri"/>
                <w:color w:val="1F2937"/>
                <w:sz w:val="17"/>
              </w:rPr>
              <w:t>PublicationPipeline</w:t>
            </w:r>
          </w:p>
        </w:tc>
        <w:tc>
          <w:tcPr>
            <w:tcW w:type="dxa" w:w="4000"/>
          </w:tcPr>
          <w:p>
            <w:pPr>
              <w:spacing w:after="0"/>
            </w:pPr>
            <w:r>
              <w:rPr>
                <w:rFonts w:ascii="Calibri" w:hAnsi="Calibri"/>
                <w:color w:val="1F2937"/>
                <w:sz w:val="17"/>
              </w:rPr>
              <w:t>validated intelligence, policy, rider context</w:t>
            </w:r>
          </w:p>
        </w:tc>
        <w:tc>
          <w:tcPr>
            <w:tcW w:type="dxa" w:w="3560"/>
          </w:tcPr>
          <w:p>
            <w:pPr>
              <w:spacing w:after="0"/>
            </w:pPr>
            <w:r>
              <w:rPr>
                <w:rFonts w:ascii="Calibri" w:hAnsi="Calibri"/>
                <w:color w:val="1F2937"/>
                <w:sz w:val="17"/>
              </w:rPr>
              <w:t>raw Firebase snapshots</w:t>
            </w:r>
          </w:p>
        </w:tc>
      </w:tr>
      <w:tr>
        <w:tc>
          <w:tcPr>
            <w:tcW w:type="dxa" w:w="1800"/>
          </w:tcPr>
          <w:p>
            <w:pPr>
              <w:spacing w:after="0"/>
            </w:pPr>
            <w:r>
              <w:rPr>
                <w:rFonts w:ascii="Calibri" w:hAnsi="Calibri"/>
                <w:color w:val="1F2937"/>
                <w:sz w:val="17"/>
              </w:rPr>
              <w:t>EvaluationEngine L7</w:t>
            </w:r>
          </w:p>
        </w:tc>
        <w:tc>
          <w:tcPr>
            <w:tcW w:type="dxa" w:w="4000"/>
          </w:tcPr>
          <w:p>
            <w:pPr>
              <w:spacing w:after="0"/>
            </w:pPr>
            <w:r>
              <w:rPr>
                <w:rFonts w:ascii="Calibri" w:hAnsi="Calibri"/>
                <w:color w:val="1F2937"/>
                <w:sz w:val="17"/>
              </w:rPr>
              <w:t>published recommendation, later outcome, freeze policy</w:t>
            </w:r>
          </w:p>
        </w:tc>
        <w:tc>
          <w:tcPr>
            <w:tcW w:type="dxa" w:w="3560"/>
          </w:tcPr>
          <w:p>
            <w:pPr>
              <w:spacing w:after="0"/>
            </w:pPr>
            <w:r>
              <w:rPr>
                <w:rFonts w:ascii="Calibri" w:hAnsi="Calibri"/>
                <w:color w:val="1F2937"/>
                <w:sz w:val="17"/>
              </w:rPr>
              <w:t>active-rally model mutation</w:t>
            </w:r>
          </w:p>
        </w:tc>
      </w:tr>
      <w:tr>
        <w:tc>
          <w:tcPr>
            <w:tcW w:type="dxa" w:w="1800"/>
          </w:tcPr>
          <w:p>
            <w:pPr>
              <w:spacing w:after="0"/>
            </w:pPr>
            <w:r>
              <w:rPr>
                <w:rFonts w:ascii="Calibri" w:hAnsi="Calibri"/>
                <w:color w:val="1F2937"/>
                <w:sz w:val="17"/>
              </w:rPr>
              <w:t>SyncEngine</w:t>
            </w:r>
          </w:p>
        </w:tc>
        <w:tc>
          <w:tcPr>
            <w:tcW w:type="dxa" w:w="4000"/>
          </w:tcPr>
          <w:p>
            <w:pPr>
              <w:spacing w:after="0"/>
            </w:pPr>
            <w:r>
              <w:rPr>
                <w:rFonts w:ascii="Calibri" w:hAnsi="Calibri"/>
                <w:color w:val="1F2937"/>
                <w:sz w:val="17"/>
              </w:rPr>
              <w:t>repositories, transport, auth, retry policy</w:t>
            </w:r>
          </w:p>
        </w:tc>
        <w:tc>
          <w:tcPr>
            <w:tcW w:type="dxa" w:w="3560"/>
          </w:tcPr>
          <w:p>
            <w:pPr>
              <w:spacing w:after="0"/>
            </w:pPr>
            <w:r>
              <w:rPr>
                <w:rFonts w:ascii="Calibri" w:hAnsi="Calibri"/>
                <w:color w:val="1F2937"/>
                <w:sz w:val="17"/>
              </w:rPr>
              <w:t>DOM and map layers</w:t>
            </w:r>
          </w:p>
        </w:tc>
      </w:tr>
      <w:tr>
        <w:tc>
          <w:tcPr>
            <w:tcW w:type="dxa" w:w="1800"/>
          </w:tcPr>
          <w:p>
            <w:pPr>
              <w:spacing w:after="0"/>
            </w:pPr>
            <w:r>
              <w:rPr>
                <w:rFonts w:ascii="Calibri" w:hAnsi="Calibri"/>
                <w:color w:val="1F2937"/>
                <w:sz w:val="17"/>
              </w:rPr>
              <w:t>MapEngine</w:t>
            </w:r>
          </w:p>
        </w:tc>
        <w:tc>
          <w:tcPr>
            <w:tcW w:type="dxa" w:w="4000"/>
          </w:tcPr>
          <w:p>
            <w:pPr>
              <w:spacing w:after="0"/>
            </w:pPr>
            <w:r>
              <w:rPr>
                <w:rFonts w:ascii="Calibri" w:hAnsi="Calibri"/>
                <w:color w:val="1F2937"/>
                <w:sz w:val="17"/>
              </w:rPr>
              <w:t>Leaflet, presentation models, layer registry</w:t>
            </w:r>
          </w:p>
        </w:tc>
        <w:tc>
          <w:tcPr>
            <w:tcW w:type="dxa" w:w="3560"/>
          </w:tcPr>
          <w:p>
            <w:pPr>
              <w:spacing w:after="0"/>
            </w:pPr>
            <w:r>
              <w:rPr>
                <w:rFonts w:ascii="Calibri" w:hAnsi="Calibri"/>
                <w:color w:val="1F2937"/>
                <w:sz w:val="17"/>
              </w:rPr>
              <w:t>Firebase and domain repositories</w:t>
            </w:r>
          </w:p>
        </w:tc>
      </w:tr>
      <w:tr>
        <w:tc>
          <w:tcPr>
            <w:tcW w:type="dxa" w:w="1800"/>
          </w:tcPr>
          <w:p>
            <w:pPr>
              <w:spacing w:after="0"/>
            </w:pPr>
            <w:r>
              <w:rPr>
                <w:rFonts w:ascii="Calibri" w:hAnsi="Calibri"/>
                <w:color w:val="1F2937"/>
                <w:sz w:val="17"/>
              </w:rPr>
              <w:t>StateStore</w:t>
            </w:r>
          </w:p>
        </w:tc>
        <w:tc>
          <w:tcPr>
            <w:tcW w:type="dxa" w:w="4000"/>
          </w:tcPr>
          <w:p>
            <w:pPr>
              <w:spacing w:after="0"/>
            </w:pPr>
            <w:r>
              <w:rPr>
                <w:rFonts w:ascii="Calibri" w:hAnsi="Calibri"/>
                <w:color w:val="1F2937"/>
                <w:sz w:val="17"/>
              </w:rPr>
              <w:t>domain snapshots and UI state</w:t>
            </w:r>
          </w:p>
        </w:tc>
        <w:tc>
          <w:tcPr>
            <w:tcW w:type="dxa" w:w="3560"/>
          </w:tcPr>
          <w:p>
            <w:pPr>
              <w:spacing w:after="0"/>
            </w:pPr>
            <w:r>
              <w:rPr>
                <w:rFonts w:ascii="Calibri" w:hAnsi="Calibri"/>
                <w:color w:val="1F2937"/>
                <w:sz w:val="17"/>
              </w:rPr>
              <w:t>direct network or IndexedDB calls</w:t>
            </w:r>
          </w:p>
        </w:tc>
      </w:tr>
    </w:tbl>
    <w:p>
      <w:pPr>
        <w:spacing w:after="40"/>
      </w:pPr>
    </w:p>
    <w:p>
      <w:pPr>
        <w:pStyle w:val="Heading2"/>
      </w:pPr>
      <w:r>
        <w:t>3.3 Critical delivery dependencies</w:t>
      </w:r>
    </w:p>
    <w:p>
      <w:pPr>
        <w:pStyle w:val="CodeBlock"/>
        <w:shd w:fill="F6F8FA"/>
      </w:pPr>
      <w:r>
        <w:t>Contracts → Event Bus/Store → IndexedDB v2/Outbox → Observation Capture</w:t>
        <w:br/>
        <w:t>Observation Capture → Quality → Commitment → Route Families/Variants</w:t>
        <w:br/>
        <w:t>Route Families + Confidence Dimensions → Checkpoint Intelligence</w:t>
        <w:br/>
        <w:t>Validated Intelligence → Publication Pipeline → Notifications</w:t>
        <w:br/>
        <w:t>Published Recommendation + Outcome → Layer 7 Evaluation</w:t>
        <w:br/>
        <w:t>Auth + Rules + Idempotency → Production Sync and Cloud Functions</w:t>
        <w:br/>
        <w:t>Performance harness → 500/1000/5000-rider release gates</w:t>
      </w:r>
    </w:p>
    <w:p>
      <w:pPr>
        <w:pStyle w:val="Heading1"/>
      </w:pPr>
      <w:r>
        <w:t>Part 4 — Database Design</w:t>
      </w:r>
    </w:p>
    <w:p>
      <w:pPr>
        <w:pStyle w:val="Heading2"/>
      </w:pPr>
      <w:r>
        <w:t>4.1 Firebase RTDB schema</w:t>
      </w:r>
    </w:p>
    <w:p>
      <w:pPr>
        <w:pStyle w:val="CodeBlock"/>
        <w:shd w:fill="F6F8FA"/>
      </w:pPr>
      <w:r>
        <w:t>events/{eventId}/</w:t>
        <w:br/>
        <w:t xml:space="preserve">  metadata</w:t>
        <w:br/>
        <w:t xml:space="preserve">  activeRally: { status, startsAt, endsAt, modelFreezeId }</w:t>
        <w:br/>
        <w:t xml:space="preserve">  public/</w:t>
        <w:br/>
        <w:t xml:space="preserve">    competitorPresence/{competitorId}</w:t>
        <w:br/>
        <w:t xml:space="preserve">    crowdIntelligence/{scopeKey}/{intelligenceId}</w:t>
        <w:br/>
        <w:t xml:space="preserve">    routeFamilies/{familyId}</w:t>
        <w:br/>
        <w:t xml:space="preserve">    routeVariants/{familyId}/{variantId}</w:t>
        <w:br/>
        <w:t xml:space="preserve">    checkpointIntelligence/{checkpointId}</w:t>
        <w:br/>
        <w:t xml:space="preserve">  private/{uid}/</w:t>
        <w:br/>
        <w:t xml:space="preserve">    observationReceipts/{observationId}</w:t>
        <w:br/>
        <w:t xml:space="preserve">    intelligenceNetwork/{memberId}</w:t>
        <w:br/>
        <w:t xml:space="preserve">    coDriverEvents/{eventId}</w:t>
        <w:br/>
        <w:t xml:space="preserve">    notifications/{notificationId}</w:t>
        <w:br/>
        <w:t xml:space="preserve">    exports/{requestId}</w:t>
        <w:br/>
        <w:br/>
        <w:t>observationIngress/{eventId}/{uid}/{observationId}</w:t>
        <w:br/>
        <w:t>observationStatus/{eventId}/{uid}/{observationId}</w:t>
        <w:br/>
        <w:t>validatedObservations/{eventId}/{observationId}       # server-only write</w:t>
        <w:br/>
        <w:t>evidenceLedger/{eventId}/{evidenceId}                 # server-only write</w:t>
        <w:br/>
        <w:t>commitmentInferences/{eventId}/{competitorId}/{id}    # server-only write</w:t>
        <w:br/>
        <w:t>recommendations/{eventId}/{uid}/{recommendationId}</w:t>
        <w:br/>
        <w:t>recommendationOutcomes/{eventId}/{uid}/{recommendationId}</w:t>
        <w:br/>
        <w:t>evaluationQueue/{eventId}/{recommendationId}</w:t>
        <w:br/>
        <w:t>deadLetters/{functionName}/{yyyyMMdd}/{id}             # admin only</w:t>
        <w:br/>
        <w:t>schema/meta/{schemaName}</w:t>
      </w:r>
    </w:p>
    <w:p>
      <w:pPr>
        <w:spacing w:before="100" w:after="160"/>
        <w:ind w:left="216" w:right="216"/>
        <w:shd w:fill="F4F6F9"/>
      </w:pPr>
      <w:r>
        <w:rPr>
          <w:rFonts w:ascii="Calibri" w:hAnsi="Calibri"/>
          <w:b/>
          <w:color w:val="2E74B5"/>
        </w:rPr>
        <w:t xml:space="preserve">Schema correction  </w:t>
      </w:r>
      <w:r>
        <w:t>Version 1.0 described client-style HTTP verbs over RTDB paths. Version 2.0 treats RTDB as a data service with rules-controlled reads/writes; callable/HTTP Functions provide commands that require authorization, validation, or multi-record transactions.</w:t>
      </w:r>
    </w:p>
    <w:p>
      <w:pPr>
        <w:pStyle w:val="Heading2"/>
      </w:pPr>
      <w:r>
        <w:t>4.2 Key records</w:t>
      </w:r>
    </w:p>
    <w:tbl>
      <w:tblPr>
        <w:tblStyle w:val="TableGrid"/>
        <w:tblW w:type="dxa" w:w="9360"/>
        <w:jc w:val="left"/>
        <w:tblLayout w:type="fixed"/>
        <w:tblLook w:firstColumn="1" w:firstRow="1" w:lastColumn="0" w:lastRow="0" w:noHBand="0" w:noVBand="1" w:val="04A0"/>
        <w:tblInd w:w="120" w:type="dxa"/>
      </w:tblPr>
      <w:tblGrid>
        <w:gridCol w:w="1600"/>
        <w:gridCol w:w="4800"/>
        <w:gridCol w:w="2960"/>
      </w:tblGrid>
      <w:tr>
        <w:trPr>
          <w:tblHeader w:val="true"/>
        </w:trPr>
        <w:tc>
          <w:tcPr>
            <w:tcW w:type="dxa" w:w="1600"/>
            <w:vAlign w:val="top"/>
            <w:tcMar>
              <w:top w:w="80" w:type="dxa"/>
              <w:bottom w:w="80" w:type="dxa"/>
              <w:start w:w="120" w:type="dxa"/>
              <w:end w:w="120" w:type="dxa"/>
            </w:tcMar>
            <w:shd w:fill="F2F4F7"/>
          </w:tcPr>
          <w:p>
            <w:pPr>
              <w:spacing w:after="0"/>
            </w:pPr>
            <w:r>
              <w:rPr>
                <w:rFonts w:ascii="Calibri" w:hAnsi="Calibri"/>
                <w:b/>
                <w:color w:val="18324A"/>
                <w:sz w:val="18"/>
              </w:rPr>
              <w:t>Record</w:t>
            </w:r>
          </w:p>
        </w:tc>
        <w:tc>
          <w:tcPr>
            <w:tcW w:type="dxa" w:w="4800"/>
            <w:vAlign w:val="top"/>
            <w:tcMar>
              <w:top w:w="80" w:type="dxa"/>
              <w:bottom w:w="80" w:type="dxa"/>
              <w:start w:w="120" w:type="dxa"/>
              <w:end w:w="120" w:type="dxa"/>
            </w:tcMar>
            <w:shd w:fill="F2F4F7"/>
          </w:tcPr>
          <w:p>
            <w:pPr>
              <w:spacing w:after="0"/>
            </w:pPr>
            <w:r>
              <w:rPr>
                <w:rFonts w:ascii="Calibri" w:hAnsi="Calibri"/>
                <w:b/>
                <w:color w:val="18324A"/>
                <w:sz w:val="18"/>
              </w:rPr>
              <w:t>Required identity and relationships</w:t>
            </w:r>
          </w:p>
        </w:tc>
        <w:tc>
          <w:tcPr>
            <w:tcW w:type="dxa" w:w="2960"/>
            <w:vAlign w:val="top"/>
            <w:tcMar>
              <w:top w:w="80" w:type="dxa"/>
              <w:bottom w:w="80" w:type="dxa"/>
              <w:start w:w="120" w:type="dxa"/>
              <w:end w:w="120" w:type="dxa"/>
            </w:tcMar>
            <w:shd w:fill="F2F4F7"/>
          </w:tcPr>
          <w:p>
            <w:pPr>
              <w:spacing w:after="0"/>
            </w:pPr>
            <w:r>
              <w:rPr>
                <w:rFonts w:ascii="Calibri" w:hAnsi="Calibri"/>
                <w:b/>
                <w:color w:val="18324A"/>
                <w:sz w:val="18"/>
              </w:rPr>
              <w:t>Mutation policy</w:t>
            </w:r>
          </w:p>
        </w:tc>
      </w:tr>
      <w:tr>
        <w:tc>
          <w:tcPr>
            <w:tcW w:type="dxa" w:w="1600"/>
          </w:tcPr>
          <w:p>
            <w:pPr>
              <w:spacing w:after="0"/>
            </w:pPr>
            <w:r>
              <w:rPr>
                <w:rFonts w:ascii="Calibri" w:hAnsi="Calibri"/>
                <w:color w:val="1F2937"/>
                <w:sz w:val="17"/>
              </w:rPr>
              <w:t>Observation</w:t>
            </w:r>
          </w:p>
        </w:tc>
        <w:tc>
          <w:tcPr>
            <w:tcW w:type="dxa" w:w="4800"/>
          </w:tcPr>
          <w:p>
            <w:pPr>
              <w:spacing w:after="0"/>
            </w:pPr>
            <w:r>
              <w:rPr>
                <w:rFonts w:ascii="Calibri" w:hAnsi="Calibri"/>
                <w:color w:val="1F2937"/>
                <w:sz w:val="17"/>
              </w:rPr>
              <w:t>observationId; eventId; rider pseudonym; checkpointId?; deviceSessionId</w:t>
            </w:r>
          </w:p>
        </w:tc>
        <w:tc>
          <w:tcPr>
            <w:tcW w:type="dxa" w:w="2960"/>
          </w:tcPr>
          <w:p>
            <w:pPr>
              <w:spacing w:after="0"/>
            </w:pPr>
            <w:r>
              <w:rPr>
                <w:rFonts w:ascii="Calibri" w:hAnsi="Calibri"/>
                <w:color w:val="1F2937"/>
                <w:sz w:val="17"/>
              </w:rPr>
              <w:t>Append-only; correction creates a superseding record.</w:t>
            </w:r>
          </w:p>
        </w:tc>
      </w:tr>
      <w:tr>
        <w:tc>
          <w:tcPr>
            <w:tcW w:type="dxa" w:w="1600"/>
          </w:tcPr>
          <w:p>
            <w:pPr>
              <w:spacing w:after="0"/>
            </w:pPr>
            <w:r>
              <w:rPr>
                <w:rFonts w:ascii="Calibri" w:hAnsi="Calibri"/>
                <w:color w:val="1F2937"/>
                <w:sz w:val="17"/>
              </w:rPr>
              <w:t>CommitmentInference</w:t>
            </w:r>
          </w:p>
        </w:tc>
        <w:tc>
          <w:tcPr>
            <w:tcW w:type="dxa" w:w="4800"/>
          </w:tcPr>
          <w:p>
            <w:pPr>
              <w:spacing w:after="0"/>
            </w:pPr>
            <w:r>
              <w:rPr>
                <w:rFonts w:ascii="Calibri" w:hAnsi="Calibri"/>
                <w:color w:val="1F2937"/>
                <w:sz w:val="17"/>
              </w:rPr>
              <w:t>inferenceId; competitorId; checkpointId; evidenceRefs[]; explanation</w:t>
            </w:r>
          </w:p>
        </w:tc>
        <w:tc>
          <w:tcPr>
            <w:tcW w:type="dxa" w:w="2960"/>
          </w:tcPr>
          <w:p>
            <w:pPr>
              <w:spacing w:after="0"/>
            </w:pPr>
            <w:r>
              <w:rPr>
                <w:rFonts w:ascii="Calibri" w:hAnsi="Calibri"/>
                <w:color w:val="1F2937"/>
                <w:sz w:val="17"/>
              </w:rPr>
              <w:t>Server-authored; revised inference links supersededBy.</w:t>
            </w:r>
          </w:p>
        </w:tc>
      </w:tr>
      <w:tr>
        <w:tc>
          <w:tcPr>
            <w:tcW w:type="dxa" w:w="1600"/>
          </w:tcPr>
          <w:p>
            <w:pPr>
              <w:spacing w:after="0"/>
            </w:pPr>
            <w:r>
              <w:rPr>
                <w:rFonts w:ascii="Calibri" w:hAnsi="Calibri"/>
                <w:color w:val="1F2937"/>
                <w:sz w:val="17"/>
              </w:rPr>
              <w:t>RouteFamily</w:t>
            </w:r>
          </w:p>
        </w:tc>
        <w:tc>
          <w:tcPr>
            <w:tcW w:type="dxa" w:w="4800"/>
          </w:tcPr>
          <w:p>
            <w:pPr>
              <w:spacing w:after="0"/>
            </w:pPr>
            <w:r>
              <w:rPr>
                <w:rFonts w:ascii="Calibri" w:hAnsi="Calibri"/>
                <w:color w:val="1F2937"/>
                <w:sz w:val="17"/>
              </w:rPr>
              <w:t>familyId; from/to checkpoint; aggregateStats; lifecycle; memberVariantIds[]</w:t>
            </w:r>
          </w:p>
        </w:tc>
        <w:tc>
          <w:tcPr>
            <w:tcW w:type="dxa" w:w="2960"/>
          </w:tcPr>
          <w:p>
            <w:pPr>
              <w:spacing w:after="0"/>
            </w:pPr>
            <w:r>
              <w:rPr>
                <w:rFonts w:ascii="Calibri" w:hAnsi="Calibri"/>
                <w:color w:val="1F2937"/>
                <w:sz w:val="17"/>
              </w:rPr>
              <w:t>Versioned snapshots; merge/split emits lineage.</w:t>
            </w:r>
          </w:p>
        </w:tc>
      </w:tr>
      <w:tr>
        <w:tc>
          <w:tcPr>
            <w:tcW w:type="dxa" w:w="1600"/>
          </w:tcPr>
          <w:p>
            <w:pPr>
              <w:spacing w:after="0"/>
            </w:pPr>
            <w:r>
              <w:rPr>
                <w:rFonts w:ascii="Calibri" w:hAnsi="Calibri"/>
                <w:color w:val="1F2937"/>
                <w:sz w:val="17"/>
              </w:rPr>
              <w:t>RouteVariant</w:t>
            </w:r>
          </w:p>
        </w:tc>
        <w:tc>
          <w:tcPr>
            <w:tcW w:type="dxa" w:w="4800"/>
          </w:tcPr>
          <w:p>
            <w:pPr>
              <w:spacing w:after="0"/>
            </w:pPr>
            <w:r>
              <w:rPr>
                <w:rFonts w:ascii="Calibri" w:hAnsi="Calibri"/>
                <w:color w:val="1F2937"/>
                <w:sz w:val="17"/>
              </w:rPr>
              <w:t>variantId; familyId; independentStats; geometryFingerprint; evidenceRefs[]</w:t>
            </w:r>
          </w:p>
        </w:tc>
        <w:tc>
          <w:tcPr>
            <w:tcW w:type="dxa" w:w="2960"/>
          </w:tcPr>
          <w:p>
            <w:pPr>
              <w:spacing w:after="0"/>
            </w:pPr>
            <w:r>
              <w:rPr>
                <w:rFonts w:ascii="Calibri" w:hAnsi="Calibri"/>
                <w:color w:val="1F2937"/>
                <w:sz w:val="17"/>
              </w:rPr>
              <w:t>Independent lifecycle/statistics; never overwritten by family aggregate.</w:t>
            </w:r>
          </w:p>
        </w:tc>
      </w:tr>
      <w:tr>
        <w:tc>
          <w:tcPr>
            <w:tcW w:type="dxa" w:w="1600"/>
          </w:tcPr>
          <w:p>
            <w:pPr>
              <w:spacing w:after="0"/>
            </w:pPr>
            <w:r>
              <w:rPr>
                <w:rFonts w:ascii="Calibri" w:hAnsi="Calibri"/>
                <w:color w:val="1F2937"/>
                <w:sz w:val="17"/>
              </w:rPr>
              <w:t>ConfidenceVector</w:t>
            </w:r>
          </w:p>
        </w:tc>
        <w:tc>
          <w:tcPr>
            <w:tcW w:type="dxa" w:w="4800"/>
          </w:tcPr>
          <w:p>
            <w:pPr>
              <w:spacing w:after="0"/>
            </w:pPr>
            <w:r>
              <w:rPr>
                <w:rFonts w:ascii="Calibri" w:hAnsi="Calibri"/>
                <w:color w:val="1F2937"/>
                <w:sz w:val="17"/>
              </w:rPr>
              <w:t>quality, evidenceStrength, inference, historical, current, recency, stability</w:t>
            </w:r>
          </w:p>
        </w:tc>
        <w:tc>
          <w:tcPr>
            <w:tcW w:type="dxa" w:w="2960"/>
          </w:tcPr>
          <w:p>
            <w:pPr>
              <w:spacing w:after="0"/>
            </w:pPr>
            <w:r>
              <w:rPr>
                <w:rFonts w:ascii="Calibri" w:hAnsi="Calibri"/>
                <w:color w:val="1F2937"/>
                <w:sz w:val="17"/>
              </w:rPr>
              <w:t>Dimensions persisted separately with method/version.</w:t>
            </w:r>
          </w:p>
        </w:tc>
      </w:tr>
      <w:tr>
        <w:tc>
          <w:tcPr>
            <w:tcW w:type="dxa" w:w="1600"/>
          </w:tcPr>
          <w:p>
            <w:pPr>
              <w:spacing w:after="0"/>
            </w:pPr>
            <w:r>
              <w:rPr>
                <w:rFonts w:ascii="Calibri" w:hAnsi="Calibri"/>
                <w:color w:val="1F2937"/>
                <w:sz w:val="17"/>
              </w:rPr>
              <w:t>IntelligenceItem</w:t>
            </w:r>
          </w:p>
        </w:tc>
        <w:tc>
          <w:tcPr>
            <w:tcW w:type="dxa" w:w="4800"/>
          </w:tcPr>
          <w:p>
            <w:pPr>
              <w:spacing w:after="0"/>
            </w:pPr>
            <w:r>
              <w:rPr>
                <w:rFonts w:ascii="Calibri" w:hAnsi="Calibri"/>
                <w:color w:val="1F2937"/>
                <w:sz w:val="17"/>
              </w:rPr>
              <w:t>private/completed/validated/crowd/evaluated/notified states; evidenceRefs[]</w:t>
            </w:r>
          </w:p>
        </w:tc>
        <w:tc>
          <w:tcPr>
            <w:tcW w:type="dxa" w:w="2960"/>
          </w:tcPr>
          <w:p>
            <w:pPr>
              <w:spacing w:after="0"/>
            </w:pPr>
            <w:r>
              <w:rPr>
                <w:rFonts w:ascii="Calibri" w:hAnsi="Calibri"/>
                <w:color w:val="1F2937"/>
                <w:sz w:val="17"/>
              </w:rPr>
              <w:t>State-machine transitions only.</w:t>
            </w:r>
          </w:p>
        </w:tc>
      </w:tr>
      <w:tr>
        <w:tc>
          <w:tcPr>
            <w:tcW w:type="dxa" w:w="1600"/>
          </w:tcPr>
          <w:p>
            <w:pPr>
              <w:spacing w:after="0"/>
            </w:pPr>
            <w:r>
              <w:rPr>
                <w:rFonts w:ascii="Calibri" w:hAnsi="Calibri"/>
                <w:color w:val="1F2937"/>
                <w:sz w:val="17"/>
              </w:rPr>
              <w:t>RecommendationEvaluation</w:t>
            </w:r>
          </w:p>
        </w:tc>
        <w:tc>
          <w:tcPr>
            <w:tcW w:type="dxa" w:w="4800"/>
          </w:tcPr>
          <w:p>
            <w:pPr>
              <w:spacing w:after="0"/>
            </w:pPr>
            <w:r>
              <w:rPr>
                <w:rFonts w:ascii="Calibri" w:hAnsi="Calibri"/>
                <w:color w:val="1F2937"/>
                <w:sz w:val="17"/>
              </w:rPr>
              <w:t>recommendationId; outcomeRefs[]; prediction; result; error classification</w:t>
            </w:r>
          </w:p>
        </w:tc>
        <w:tc>
          <w:tcPr>
            <w:tcW w:type="dxa" w:w="2960"/>
          </w:tcPr>
          <w:p>
            <w:pPr>
              <w:spacing w:after="0"/>
            </w:pPr>
            <w:r>
              <w:rPr>
                <w:rFonts w:ascii="Calibri" w:hAnsi="Calibri"/>
                <w:color w:val="1F2937"/>
                <w:sz w:val="17"/>
              </w:rPr>
              <w:t>Created after outcome; model update deferred outside active rally.</w:t>
            </w:r>
          </w:p>
        </w:tc>
      </w:tr>
    </w:tbl>
    <w:p>
      <w:pPr>
        <w:spacing w:after="40"/>
      </w:pPr>
    </w:p>
    <w:p>
      <w:pPr>
        <w:pStyle w:val="Heading2"/>
      </w:pPr>
      <w:r>
        <w:t>4.3 Index strategy</w:t>
      </w:r>
    </w:p>
    <w:p>
      <w:pPr>
        <w:pStyle w:val="ListBullet"/>
        <w:ind w:left="720" w:hanging="360"/>
      </w:pPr>
      <w:r>
        <w:t>Index observations by eventId+riderId+timestamp, eventId+checkpointId+timestamp, syncState+nextAttemptAt, and deviceSessionId+sequence.</w:t>
      </w:r>
    </w:p>
    <w:p>
      <w:pPr>
        <w:pStyle w:val="ListBullet"/>
        <w:ind w:left="720" w:hanging="360"/>
      </w:pPr>
      <w:r>
        <w:t>Index variants by eventId+fromCheckpoint+toCheckpoint+lifecycleState and familyId+updatedAt.</w:t>
      </w:r>
    </w:p>
    <w:p>
      <w:pPr>
        <w:pStyle w:val="ListBullet"/>
        <w:ind w:left="720" w:hanging="360"/>
      </w:pPr>
      <w:r>
        <w:t>Index intelligence by audienceUid+publicationState+surfaceAfter, and evidence item by source observation.</w:t>
      </w:r>
    </w:p>
    <w:p>
      <w:pPr>
        <w:pStyle w:val="ListBullet"/>
        <w:ind w:left="720" w:hanging="360"/>
      </w:pPr>
      <w:r>
        <w:t>Keep RTDB fan-out read paths shallow. Write denormalized public projections only from Cloud Functions.</w:t>
      </w:r>
    </w:p>
    <w:p>
      <w:pPr>
        <w:pStyle w:val="ListBullet"/>
        <w:ind w:left="720" w:hanging="360"/>
      </w:pPr>
      <w:r>
        <w:t>Use deterministic IDs for idempotent ingestion; never use client push IDs for retryable commands.</w:t>
      </w:r>
    </w:p>
    <w:p>
      <w:pPr>
        <w:pStyle w:val="Heading2"/>
      </w:pPr>
      <w:r>
        <w:t>4.4 IndexedDB schema</w:t>
      </w:r>
    </w:p>
    <w:tbl>
      <w:tblPr>
        <w:tblStyle w:val="TableGrid"/>
        <w:tblW w:type="dxa" w:w="9360"/>
        <w:jc w:val="left"/>
        <w:tblLayout w:type="fixed"/>
        <w:tblLook w:firstColumn="1" w:firstRow="1" w:lastColumn="0" w:lastRow="0" w:noHBand="0" w:noVBand="1" w:val="04A0"/>
        <w:tblInd w:w="120" w:type="dxa"/>
      </w:tblPr>
      <w:tblGrid>
        <w:gridCol w:w="1700"/>
        <w:gridCol w:w="2600"/>
        <w:gridCol w:w="5060"/>
      </w:tblGrid>
      <w:tr>
        <w:trPr>
          <w:tblHeader w:val="true"/>
        </w:trPr>
        <w:tc>
          <w:tcPr>
            <w:tcW w:type="dxa" w:w="1700"/>
            <w:vAlign w:val="top"/>
            <w:tcMar>
              <w:top w:w="80" w:type="dxa"/>
              <w:bottom w:w="80" w:type="dxa"/>
              <w:start w:w="120" w:type="dxa"/>
              <w:end w:w="120" w:type="dxa"/>
            </w:tcMar>
            <w:shd w:fill="F2F4F7"/>
          </w:tcPr>
          <w:p>
            <w:pPr>
              <w:spacing w:after="0"/>
            </w:pPr>
            <w:r>
              <w:rPr>
                <w:rFonts w:ascii="Calibri" w:hAnsi="Calibri"/>
                <w:b/>
                <w:color w:val="18324A"/>
                <w:sz w:val="18"/>
              </w:rPr>
              <w:t>Store</w:t>
            </w:r>
          </w:p>
        </w:tc>
        <w:tc>
          <w:tcPr>
            <w:tcW w:type="dxa" w:w="2600"/>
            <w:vAlign w:val="top"/>
            <w:tcMar>
              <w:top w:w="80" w:type="dxa"/>
              <w:bottom w:w="80" w:type="dxa"/>
              <w:start w:w="120" w:type="dxa"/>
              <w:end w:w="120" w:type="dxa"/>
            </w:tcMar>
            <w:shd w:fill="F2F4F7"/>
          </w:tcPr>
          <w:p>
            <w:pPr>
              <w:spacing w:after="0"/>
            </w:pPr>
            <w:r>
              <w:rPr>
                <w:rFonts w:ascii="Calibri" w:hAnsi="Calibri"/>
                <w:b/>
                <w:color w:val="18324A"/>
                <w:sz w:val="18"/>
              </w:rPr>
              <w:t>Key path</w:t>
            </w:r>
          </w:p>
        </w:tc>
        <w:tc>
          <w:tcPr>
            <w:tcW w:type="dxa" w:w="5060"/>
            <w:vAlign w:val="top"/>
            <w:tcMar>
              <w:top w:w="80" w:type="dxa"/>
              <w:bottom w:w="80" w:type="dxa"/>
              <w:start w:w="120" w:type="dxa"/>
              <w:end w:w="120" w:type="dxa"/>
            </w:tcMar>
            <w:shd w:fill="F2F4F7"/>
          </w:tcPr>
          <w:p>
            <w:pPr>
              <w:spacing w:after="0"/>
            </w:pPr>
            <w:r>
              <w:rPr>
                <w:rFonts w:ascii="Calibri" w:hAnsi="Calibri"/>
                <w:b/>
                <w:color w:val="18324A"/>
                <w:sz w:val="18"/>
              </w:rPr>
              <w:t>Indexes / retention</w:t>
            </w:r>
          </w:p>
        </w:tc>
      </w:tr>
      <w:tr>
        <w:tc>
          <w:tcPr>
            <w:tcW w:type="dxa" w:w="1700"/>
          </w:tcPr>
          <w:p>
            <w:pPr>
              <w:spacing w:after="0"/>
            </w:pPr>
            <w:r>
              <w:rPr>
                <w:rFonts w:ascii="Calibri" w:hAnsi="Calibri"/>
                <w:color w:val="1F2937"/>
                <w:sz w:val="17"/>
              </w:rPr>
              <w:t>projects</w:t>
            </w:r>
          </w:p>
        </w:tc>
        <w:tc>
          <w:tcPr>
            <w:tcW w:type="dxa" w:w="2600"/>
          </w:tcPr>
          <w:p>
            <w:pPr>
              <w:spacing w:after="0"/>
            </w:pPr>
            <w:r>
              <w:rPr>
                <w:rFonts w:ascii="Calibri" w:hAnsi="Calibri"/>
                <w:color w:val="1F2937"/>
                <w:sz w:val="17"/>
              </w:rPr>
              <w:t>id</w:t>
            </w:r>
          </w:p>
        </w:tc>
        <w:tc>
          <w:tcPr>
            <w:tcW w:type="dxa" w:w="5060"/>
          </w:tcPr>
          <w:p>
            <w:pPr>
              <w:spacing w:after="0"/>
            </w:pPr>
            <w:r>
              <w:rPr>
                <w:rFonts w:ascii="Calibri" w:hAnsi="Calibri"/>
                <w:color w:val="1F2937"/>
                <w:sz w:val="17"/>
              </w:rPr>
              <w:t>updatedAt; existing store retained</w:t>
            </w:r>
          </w:p>
        </w:tc>
      </w:tr>
      <w:tr>
        <w:tc>
          <w:tcPr>
            <w:tcW w:type="dxa" w:w="1700"/>
          </w:tcPr>
          <w:p>
            <w:pPr>
              <w:spacing w:after="0"/>
            </w:pPr>
            <w:r>
              <w:rPr>
                <w:rFonts w:ascii="Calibri" w:hAnsi="Calibri"/>
                <w:color w:val="1F2937"/>
                <w:sz w:val="17"/>
              </w:rPr>
              <w:t>observations</w:t>
            </w:r>
          </w:p>
        </w:tc>
        <w:tc>
          <w:tcPr>
            <w:tcW w:type="dxa" w:w="2600"/>
          </w:tcPr>
          <w:p>
            <w:pPr>
              <w:spacing w:after="0"/>
            </w:pPr>
            <w:r>
              <w:rPr>
                <w:rFonts w:ascii="Calibri" w:hAnsi="Calibri"/>
                <w:color w:val="1F2937"/>
                <w:sz w:val="17"/>
              </w:rPr>
              <w:t>[eventId, observationId]</w:t>
            </w:r>
          </w:p>
        </w:tc>
        <w:tc>
          <w:tcPr>
            <w:tcW w:type="dxa" w:w="5060"/>
          </w:tcPr>
          <w:p>
            <w:pPr>
              <w:spacing w:after="0"/>
            </w:pPr>
            <w:r>
              <w:rPr>
                <w:rFonts w:ascii="Calibri" w:hAnsi="Calibri"/>
                <w:color w:val="1F2937"/>
                <w:sz w:val="17"/>
              </w:rPr>
              <w:t>riderTime, checkpointTime, syncState, sessionSequence; append-only</w:t>
            </w:r>
          </w:p>
        </w:tc>
      </w:tr>
      <w:tr>
        <w:tc>
          <w:tcPr>
            <w:tcW w:type="dxa" w:w="1700"/>
          </w:tcPr>
          <w:p>
            <w:pPr>
              <w:spacing w:after="0"/>
            </w:pPr>
            <w:r>
              <w:rPr>
                <w:rFonts w:ascii="Calibri" w:hAnsi="Calibri"/>
                <w:color w:val="1F2937"/>
                <w:sz w:val="17"/>
              </w:rPr>
              <w:t>observationOutbox</w:t>
            </w:r>
          </w:p>
        </w:tc>
        <w:tc>
          <w:tcPr>
            <w:tcW w:type="dxa" w:w="2600"/>
          </w:tcPr>
          <w:p>
            <w:pPr>
              <w:spacing w:after="0"/>
            </w:pPr>
            <w:r>
              <w:rPr>
                <w:rFonts w:ascii="Calibri" w:hAnsi="Calibri"/>
                <w:color w:val="1F2937"/>
                <w:sz w:val="17"/>
              </w:rPr>
              <w:t>idempotencyKey</w:t>
            </w:r>
          </w:p>
        </w:tc>
        <w:tc>
          <w:tcPr>
            <w:tcW w:type="dxa" w:w="5060"/>
          </w:tcPr>
          <w:p>
            <w:pPr>
              <w:spacing w:after="0"/>
            </w:pPr>
            <w:r>
              <w:rPr>
                <w:rFonts w:ascii="Calibri" w:hAnsi="Calibri"/>
                <w:color w:val="1F2937"/>
                <w:sz w:val="17"/>
              </w:rPr>
              <w:t>nextAttemptAt, eventId, state; delete after receipt + retention window</w:t>
            </w:r>
          </w:p>
        </w:tc>
      </w:tr>
      <w:tr>
        <w:tc>
          <w:tcPr>
            <w:tcW w:type="dxa" w:w="1700"/>
          </w:tcPr>
          <w:p>
            <w:pPr>
              <w:spacing w:after="0"/>
            </w:pPr>
            <w:r>
              <w:rPr>
                <w:rFonts w:ascii="Calibri" w:hAnsi="Calibri"/>
                <w:color w:val="1F2937"/>
                <w:sz w:val="17"/>
              </w:rPr>
              <w:t>commitmentInferences</w:t>
            </w:r>
          </w:p>
        </w:tc>
        <w:tc>
          <w:tcPr>
            <w:tcW w:type="dxa" w:w="2600"/>
          </w:tcPr>
          <w:p>
            <w:pPr>
              <w:spacing w:after="0"/>
            </w:pPr>
            <w:r>
              <w:rPr>
                <w:rFonts w:ascii="Calibri" w:hAnsi="Calibri"/>
                <w:color w:val="1F2937"/>
                <w:sz w:val="17"/>
              </w:rPr>
              <w:t>[eventId, inferenceId]</w:t>
            </w:r>
          </w:p>
        </w:tc>
        <w:tc>
          <w:tcPr>
            <w:tcW w:type="dxa" w:w="5060"/>
          </w:tcPr>
          <w:p>
            <w:pPr>
              <w:spacing w:after="0"/>
            </w:pPr>
            <w:r>
              <w:rPr>
                <w:rFonts w:ascii="Calibri" w:hAnsi="Calibri"/>
                <w:color w:val="1F2937"/>
                <w:sz w:val="17"/>
              </w:rPr>
              <w:t>competitorCheckpointTime, active</w:t>
            </w:r>
          </w:p>
        </w:tc>
      </w:tr>
      <w:tr>
        <w:tc>
          <w:tcPr>
            <w:tcW w:type="dxa" w:w="1700"/>
          </w:tcPr>
          <w:p>
            <w:pPr>
              <w:spacing w:after="0"/>
            </w:pPr>
            <w:r>
              <w:rPr>
                <w:rFonts w:ascii="Calibri" w:hAnsi="Calibri"/>
                <w:color w:val="1F2937"/>
                <w:sz w:val="17"/>
              </w:rPr>
              <w:t>routeFamilies</w:t>
            </w:r>
          </w:p>
        </w:tc>
        <w:tc>
          <w:tcPr>
            <w:tcW w:type="dxa" w:w="2600"/>
          </w:tcPr>
          <w:p>
            <w:pPr>
              <w:spacing w:after="0"/>
            </w:pPr>
            <w:r>
              <w:rPr>
                <w:rFonts w:ascii="Calibri" w:hAnsi="Calibri"/>
                <w:color w:val="1F2937"/>
                <w:sz w:val="17"/>
              </w:rPr>
              <w:t>[eventId, familyId, revision]</w:t>
            </w:r>
          </w:p>
        </w:tc>
        <w:tc>
          <w:tcPr>
            <w:tcW w:type="dxa" w:w="5060"/>
          </w:tcPr>
          <w:p>
            <w:pPr>
              <w:spacing w:after="0"/>
            </w:pPr>
            <w:r>
              <w:rPr>
                <w:rFonts w:ascii="Calibri" w:hAnsi="Calibri"/>
                <w:color w:val="1F2937"/>
                <w:sz w:val="17"/>
              </w:rPr>
              <w:t>checkpointPair, lifecycle, current</w:t>
            </w:r>
          </w:p>
        </w:tc>
      </w:tr>
      <w:tr>
        <w:tc>
          <w:tcPr>
            <w:tcW w:type="dxa" w:w="1700"/>
          </w:tcPr>
          <w:p>
            <w:pPr>
              <w:spacing w:after="0"/>
            </w:pPr>
            <w:r>
              <w:rPr>
                <w:rFonts w:ascii="Calibri" w:hAnsi="Calibri"/>
                <w:color w:val="1F2937"/>
                <w:sz w:val="17"/>
              </w:rPr>
              <w:t>routeVariants</w:t>
            </w:r>
          </w:p>
        </w:tc>
        <w:tc>
          <w:tcPr>
            <w:tcW w:type="dxa" w:w="2600"/>
          </w:tcPr>
          <w:p>
            <w:pPr>
              <w:spacing w:after="0"/>
            </w:pPr>
            <w:r>
              <w:rPr>
                <w:rFonts w:ascii="Calibri" w:hAnsi="Calibri"/>
                <w:color w:val="1F2937"/>
                <w:sz w:val="17"/>
              </w:rPr>
              <w:t>[eventId, variantId, revision]</w:t>
            </w:r>
          </w:p>
        </w:tc>
        <w:tc>
          <w:tcPr>
            <w:tcW w:type="dxa" w:w="5060"/>
          </w:tcPr>
          <w:p>
            <w:pPr>
              <w:spacing w:after="0"/>
            </w:pPr>
            <w:r>
              <w:rPr>
                <w:rFonts w:ascii="Calibri" w:hAnsi="Calibri"/>
                <w:color w:val="1F2937"/>
                <w:sz w:val="17"/>
              </w:rPr>
              <w:t>familyId, checkpointPair, lifecycle</w:t>
            </w:r>
          </w:p>
        </w:tc>
      </w:tr>
      <w:tr>
        <w:tc>
          <w:tcPr>
            <w:tcW w:type="dxa" w:w="1700"/>
          </w:tcPr>
          <w:p>
            <w:pPr>
              <w:spacing w:after="0"/>
            </w:pPr>
            <w:r>
              <w:rPr>
                <w:rFonts w:ascii="Calibri" w:hAnsi="Calibri"/>
                <w:color w:val="1F2937"/>
                <w:sz w:val="17"/>
              </w:rPr>
              <w:t>confidenceVectors</w:t>
            </w:r>
          </w:p>
        </w:tc>
        <w:tc>
          <w:tcPr>
            <w:tcW w:type="dxa" w:w="2600"/>
          </w:tcPr>
          <w:p>
            <w:pPr>
              <w:spacing w:after="0"/>
            </w:pPr>
            <w:r>
              <w:rPr>
                <w:rFonts w:ascii="Calibri" w:hAnsi="Calibri"/>
                <w:color w:val="1F2937"/>
                <w:sz w:val="17"/>
              </w:rPr>
              <w:t>[eventId, subjectType, subjectId, revision]</w:t>
            </w:r>
          </w:p>
        </w:tc>
        <w:tc>
          <w:tcPr>
            <w:tcW w:type="dxa" w:w="5060"/>
          </w:tcPr>
          <w:p>
            <w:pPr>
              <w:spacing w:after="0"/>
            </w:pPr>
            <w:r>
              <w:rPr>
                <w:rFonts w:ascii="Calibri" w:hAnsi="Calibri"/>
                <w:color w:val="1F2937"/>
                <w:sz w:val="17"/>
              </w:rPr>
              <w:t>updatedAt</w:t>
            </w:r>
          </w:p>
        </w:tc>
      </w:tr>
      <w:tr>
        <w:tc>
          <w:tcPr>
            <w:tcW w:type="dxa" w:w="1700"/>
          </w:tcPr>
          <w:p>
            <w:pPr>
              <w:spacing w:after="0"/>
            </w:pPr>
            <w:r>
              <w:rPr>
                <w:rFonts w:ascii="Calibri" w:hAnsi="Calibri"/>
                <w:color w:val="1F2937"/>
                <w:sz w:val="17"/>
              </w:rPr>
              <w:t>intelligenceItems</w:t>
            </w:r>
          </w:p>
        </w:tc>
        <w:tc>
          <w:tcPr>
            <w:tcW w:type="dxa" w:w="2600"/>
          </w:tcPr>
          <w:p>
            <w:pPr>
              <w:spacing w:after="0"/>
            </w:pPr>
            <w:r>
              <w:rPr>
                <w:rFonts w:ascii="Calibri" w:hAnsi="Calibri"/>
                <w:color w:val="1F2937"/>
                <w:sz w:val="17"/>
              </w:rPr>
              <w:t>[eventId, intelligenceId]</w:t>
            </w:r>
          </w:p>
        </w:tc>
        <w:tc>
          <w:tcPr>
            <w:tcW w:type="dxa" w:w="5060"/>
          </w:tcPr>
          <w:p>
            <w:pPr>
              <w:spacing w:after="0"/>
            </w:pPr>
            <w:r>
              <w:rPr>
                <w:rFonts w:ascii="Calibri" w:hAnsi="Calibri"/>
                <w:color w:val="1F2937"/>
                <w:sz w:val="17"/>
              </w:rPr>
              <w:t>stage, audience, surfaceAfter</w:t>
            </w:r>
          </w:p>
        </w:tc>
      </w:tr>
      <w:tr>
        <w:tc>
          <w:tcPr>
            <w:tcW w:type="dxa" w:w="1700"/>
          </w:tcPr>
          <w:p>
            <w:pPr>
              <w:spacing w:after="0"/>
            </w:pPr>
            <w:r>
              <w:rPr>
                <w:rFonts w:ascii="Calibri" w:hAnsi="Calibri"/>
                <w:color w:val="1F2937"/>
                <w:sz w:val="17"/>
              </w:rPr>
              <w:t>recommendations</w:t>
            </w:r>
          </w:p>
        </w:tc>
        <w:tc>
          <w:tcPr>
            <w:tcW w:type="dxa" w:w="2600"/>
          </w:tcPr>
          <w:p>
            <w:pPr>
              <w:spacing w:after="0"/>
            </w:pPr>
            <w:r>
              <w:rPr>
                <w:rFonts w:ascii="Calibri" w:hAnsi="Calibri"/>
                <w:color w:val="1F2937"/>
                <w:sz w:val="17"/>
              </w:rPr>
              <w:t>[eventId, recommendationId]</w:t>
            </w:r>
          </w:p>
        </w:tc>
        <w:tc>
          <w:tcPr>
            <w:tcW w:type="dxa" w:w="5060"/>
          </w:tcPr>
          <w:p>
            <w:pPr>
              <w:spacing w:after="0"/>
            </w:pPr>
            <w:r>
              <w:rPr>
                <w:rFonts w:ascii="Calibri" w:hAnsi="Calibri"/>
                <w:color w:val="1F2937"/>
                <w:sz w:val="17"/>
              </w:rPr>
              <w:t>status, createdAt</w:t>
            </w:r>
          </w:p>
        </w:tc>
      </w:tr>
      <w:tr>
        <w:tc>
          <w:tcPr>
            <w:tcW w:type="dxa" w:w="1700"/>
          </w:tcPr>
          <w:p>
            <w:pPr>
              <w:spacing w:after="0"/>
            </w:pPr>
            <w:r>
              <w:rPr>
                <w:rFonts w:ascii="Calibri" w:hAnsi="Calibri"/>
                <w:color w:val="1F2937"/>
                <w:sz w:val="17"/>
              </w:rPr>
              <w:t>recommendationEvaluations</w:t>
            </w:r>
          </w:p>
        </w:tc>
        <w:tc>
          <w:tcPr>
            <w:tcW w:type="dxa" w:w="2600"/>
          </w:tcPr>
          <w:p>
            <w:pPr>
              <w:spacing w:after="0"/>
            </w:pPr>
            <w:r>
              <w:rPr>
                <w:rFonts w:ascii="Calibri" w:hAnsi="Calibri"/>
                <w:color w:val="1F2937"/>
                <w:sz w:val="17"/>
              </w:rPr>
              <w:t>[eventId, recommendationId, revision]</w:t>
            </w:r>
          </w:p>
        </w:tc>
        <w:tc>
          <w:tcPr>
            <w:tcW w:type="dxa" w:w="5060"/>
          </w:tcPr>
          <w:p>
            <w:pPr>
              <w:spacing w:after="0"/>
            </w:pPr>
            <w:r>
              <w:rPr>
                <w:rFonts w:ascii="Calibri" w:hAnsi="Calibri"/>
                <w:color w:val="1F2937"/>
                <w:sz w:val="17"/>
              </w:rPr>
              <w:t>evaluatedAt, modelVersion</w:t>
            </w:r>
          </w:p>
        </w:tc>
      </w:tr>
      <w:tr>
        <w:tc>
          <w:tcPr>
            <w:tcW w:type="dxa" w:w="1700"/>
          </w:tcPr>
          <w:p>
            <w:pPr>
              <w:spacing w:after="0"/>
            </w:pPr>
            <w:r>
              <w:rPr>
                <w:rFonts w:ascii="Calibri" w:hAnsi="Calibri"/>
                <w:color w:val="1F2937"/>
                <w:sz w:val="17"/>
              </w:rPr>
              <w:t>intelligenceNetwork</w:t>
            </w:r>
          </w:p>
        </w:tc>
        <w:tc>
          <w:tcPr>
            <w:tcW w:type="dxa" w:w="2600"/>
          </w:tcPr>
          <w:p>
            <w:pPr>
              <w:spacing w:after="0"/>
            </w:pPr>
            <w:r>
              <w:rPr>
                <w:rFonts w:ascii="Calibri" w:hAnsi="Calibri"/>
                <w:color w:val="1F2937"/>
                <w:sz w:val="17"/>
              </w:rPr>
              <w:t>[uid, memberId]</w:t>
            </w:r>
          </w:p>
        </w:tc>
        <w:tc>
          <w:tcPr>
            <w:tcW w:type="dxa" w:w="5060"/>
          </w:tcPr>
          <w:p>
            <w:pPr>
              <w:spacing w:after="0"/>
            </w:pPr>
            <w:r>
              <w:rPr>
                <w:rFonts w:ascii="Calibri" w:hAnsi="Calibri"/>
                <w:color w:val="1F2937"/>
                <w:sz w:val="17"/>
              </w:rPr>
              <w:t>updatedAt</w:t>
            </w:r>
          </w:p>
        </w:tc>
      </w:tr>
      <w:tr>
        <w:tc>
          <w:tcPr>
            <w:tcW w:type="dxa" w:w="1700"/>
          </w:tcPr>
          <w:p>
            <w:pPr>
              <w:spacing w:after="0"/>
            </w:pPr>
            <w:r>
              <w:rPr>
                <w:rFonts w:ascii="Calibri" w:hAnsi="Calibri"/>
                <w:color w:val="1F2937"/>
                <w:sz w:val="17"/>
              </w:rPr>
              <w:t>syncMeta</w:t>
            </w:r>
          </w:p>
        </w:tc>
        <w:tc>
          <w:tcPr>
            <w:tcW w:type="dxa" w:w="2600"/>
          </w:tcPr>
          <w:p>
            <w:pPr>
              <w:spacing w:after="0"/>
            </w:pPr>
            <w:r>
              <w:rPr>
                <w:rFonts w:ascii="Calibri" w:hAnsi="Calibri"/>
                <w:color w:val="1F2937"/>
                <w:sz w:val="17"/>
              </w:rPr>
              <w:t>key</w:t>
            </w:r>
          </w:p>
        </w:tc>
        <w:tc>
          <w:tcPr>
            <w:tcW w:type="dxa" w:w="5060"/>
          </w:tcPr>
          <w:p>
            <w:pPr>
              <w:spacing w:after="0"/>
            </w:pPr>
            <w:r>
              <w:rPr>
                <w:rFonts w:ascii="Calibri" w:hAnsi="Calibri"/>
                <w:color w:val="1F2937"/>
                <w:sz w:val="17"/>
              </w:rPr>
              <w:t>singleton cursors, schema version, migration checkpoints</w:t>
            </w:r>
          </w:p>
        </w:tc>
      </w:tr>
    </w:tbl>
    <w:p>
      <w:pPr>
        <w:spacing w:after="40"/>
      </w:pPr>
    </w:p>
    <w:p>
      <w:pPr>
        <w:pStyle w:val="Heading2"/>
      </w:pPr>
      <w:r>
        <w:t>4.5 Migration strategy</w:t>
      </w:r>
    </w:p>
    <w:p>
      <w:pPr>
        <w:pStyle w:val="ListNumber"/>
      </w:pPr>
      <w:r>
        <w:t>Introduce schema registry and migration runner without changing existing stores.</w:t>
      </w:r>
    </w:p>
    <w:p>
      <w:pPr>
        <w:pStyle w:val="ListNumber"/>
      </w:pPr>
      <w:r>
        <w:t>Create new stores in one IndexedDB version upgrade; never transform large records inside onupgradeneeded.</w:t>
      </w:r>
    </w:p>
    <w:p>
      <w:pPr>
        <w:pStyle w:val="ListNumber"/>
      </w:pPr>
      <w:r>
        <w:t>Background-copy legacy project competitor/checkpoint data in bounded batches; record a durable migration cursor.</w:t>
      </w:r>
    </w:p>
    <w:p>
      <w:pPr>
        <w:pStyle w:val="ListNumber"/>
      </w:pPr>
      <w:r>
        <w:t>Shadow-write new observations while legacy behavior remains authoritative.</w:t>
      </w:r>
    </w:p>
    <w:p>
      <w:pPr>
        <w:pStyle w:val="ListNumber"/>
      </w:pPr>
      <w:r>
        <w:t>Run reconciliation counts/hashes and surface non-PII diagnostics.</w:t>
      </w:r>
    </w:p>
    <w:p>
      <w:pPr>
        <w:pStyle w:val="ListNumber"/>
      </w:pPr>
      <w:r>
        <w:t>Enable dual-read with new-store preference and legacy fallback.</w:t>
      </w:r>
    </w:p>
    <w:p>
      <w:pPr>
        <w:pStyle w:val="ListNumber"/>
      </w:pPr>
      <w:r>
        <w:t>Promote new stores to authoritative behind a remotely disableable flag.</w:t>
      </w:r>
    </w:p>
    <w:p>
      <w:pPr>
        <w:pStyle w:val="ListNumber"/>
      </w:pPr>
      <w:r>
        <w:t>Retain legacy fields for two releases; delete only after export, rollback, and offline upgrade tests pass.</w:t>
      </w:r>
    </w:p>
    <w:p>
      <w:pPr>
        <w:pStyle w:val="Heading1"/>
      </w:pPr>
      <w:r>
        <w:t>Part 5 — Cloud Functions and APIs</w:t>
      </w:r>
    </w:p>
    <w:p>
      <w:pPr>
        <w:pStyle w:val="Heading2"/>
      </w:pPr>
      <w:r>
        <w:t>5.1 Cloud Function inventory</w:t>
      </w:r>
    </w:p>
    <w:tbl>
      <w:tblPr>
        <w:tblStyle w:val="TableGrid"/>
        <w:tblW w:type="dxa" w:w="9360"/>
        <w:jc w:val="left"/>
        <w:tblLayout w:type="fixed"/>
        <w:tblLook w:firstColumn="1" w:firstRow="1" w:lastColumn="0" w:lastRow="0" w:noHBand="0" w:noVBand="1" w:val="04A0"/>
        <w:tblInd w:w="120" w:type="dxa"/>
      </w:tblPr>
      <w:tblGrid>
        <w:gridCol w:w="2300"/>
        <w:gridCol w:w="4300"/>
        <w:gridCol w:w="2760"/>
      </w:tblGrid>
      <w:tr>
        <w:trPr>
          <w:tblHeader w:val="true"/>
        </w:trPr>
        <w:tc>
          <w:tcPr>
            <w:tcW w:type="dxa" w:w="2300"/>
            <w:vAlign w:val="top"/>
            <w:tcMar>
              <w:top w:w="80" w:type="dxa"/>
              <w:bottom w:w="80" w:type="dxa"/>
              <w:start w:w="120" w:type="dxa"/>
              <w:end w:w="120" w:type="dxa"/>
            </w:tcMar>
            <w:shd w:fill="F2F4F7"/>
          </w:tcPr>
          <w:p>
            <w:pPr>
              <w:spacing w:after="0"/>
            </w:pPr>
            <w:r>
              <w:rPr>
                <w:rFonts w:ascii="Calibri" w:hAnsi="Calibri"/>
                <w:b/>
                <w:color w:val="18324A"/>
                <w:sz w:val="18"/>
              </w:rPr>
              <w:t>Function / trigger</w:t>
            </w:r>
          </w:p>
        </w:tc>
        <w:tc>
          <w:tcPr>
            <w:tcW w:type="dxa" w:w="4300"/>
            <w:vAlign w:val="top"/>
            <w:tcMar>
              <w:top w:w="80" w:type="dxa"/>
              <w:bottom w:w="80" w:type="dxa"/>
              <w:start w:w="120" w:type="dxa"/>
              <w:end w:w="120" w:type="dxa"/>
            </w:tcMar>
            <w:shd w:fill="F2F4F7"/>
          </w:tcPr>
          <w:p>
            <w:pPr>
              <w:spacing w:after="0"/>
            </w:pPr>
            <w:r>
              <w:rPr>
                <w:rFonts w:ascii="Calibri" w:hAnsi="Calibri"/>
                <w:b/>
                <w:color w:val="18324A"/>
                <w:sz w:val="18"/>
              </w:rPr>
              <w:t>Purpose and output</w:t>
            </w:r>
          </w:p>
        </w:tc>
        <w:tc>
          <w:tcPr>
            <w:tcW w:type="dxa" w:w="2760"/>
            <w:vAlign w:val="top"/>
            <w:tcMar>
              <w:top w:w="80" w:type="dxa"/>
              <w:bottom w:w="80" w:type="dxa"/>
              <w:start w:w="120" w:type="dxa"/>
              <w:end w:w="120" w:type="dxa"/>
            </w:tcMar>
            <w:shd w:fill="F2F4F7"/>
          </w:tcPr>
          <w:p>
            <w:pPr>
              <w:spacing w:after="0"/>
            </w:pPr>
            <w:r>
              <w:rPr>
                <w:rFonts w:ascii="Calibri" w:hAnsi="Calibri"/>
                <w:b/>
                <w:color w:val="18324A"/>
                <w:sz w:val="18"/>
              </w:rPr>
              <w:t>Failure handling</w:t>
            </w:r>
          </w:p>
        </w:tc>
      </w:tr>
      <w:tr>
        <w:tc>
          <w:tcPr>
            <w:tcW w:type="dxa" w:w="2300"/>
          </w:tcPr>
          <w:p>
            <w:pPr>
              <w:spacing w:after="0"/>
            </w:pPr>
            <w:r>
              <w:rPr>
                <w:rFonts w:ascii="Calibri" w:hAnsi="Calibri"/>
                <w:color w:val="1F2937"/>
                <w:sz w:val="17"/>
              </w:rPr>
              <w:t>ingestObservation — callable/HTTP</w:t>
            </w:r>
          </w:p>
        </w:tc>
        <w:tc>
          <w:tcPr>
            <w:tcW w:type="dxa" w:w="4300"/>
          </w:tcPr>
          <w:p>
            <w:pPr>
              <w:spacing w:after="0"/>
            </w:pPr>
            <w:r>
              <w:rPr>
                <w:rFonts w:ascii="Calibri" w:hAnsi="Calibri"/>
                <w:color w:val="1F2937"/>
                <w:sz w:val="17"/>
              </w:rPr>
              <w:t>Validate auth/schema/idempotency; write ingress; return receipt/status URL</w:t>
            </w:r>
          </w:p>
        </w:tc>
        <w:tc>
          <w:tcPr>
            <w:tcW w:type="dxa" w:w="2760"/>
          </w:tcPr>
          <w:p>
            <w:pPr>
              <w:spacing w:after="0"/>
            </w:pPr>
            <w:r>
              <w:rPr>
                <w:rFonts w:ascii="Calibri" w:hAnsi="Calibri"/>
                <w:color w:val="1F2937"/>
                <w:sz w:val="17"/>
              </w:rPr>
              <w:t>Reject invalid; duplicate returns original receipt; transient retry.</w:t>
            </w:r>
          </w:p>
        </w:tc>
      </w:tr>
      <w:tr>
        <w:tc>
          <w:tcPr>
            <w:tcW w:type="dxa" w:w="2300"/>
          </w:tcPr>
          <w:p>
            <w:pPr>
              <w:spacing w:after="0"/>
            </w:pPr>
            <w:r>
              <w:rPr>
                <w:rFonts w:ascii="Calibri" w:hAnsi="Calibri"/>
                <w:color w:val="1F2937"/>
                <w:sz w:val="17"/>
              </w:rPr>
              <w:t>onObservationIngress — RTDB create</w:t>
            </w:r>
          </w:p>
        </w:tc>
        <w:tc>
          <w:tcPr>
            <w:tcW w:type="dxa" w:w="4300"/>
          </w:tcPr>
          <w:p>
            <w:pPr>
              <w:spacing w:after="0"/>
            </w:pPr>
            <w:r>
              <w:rPr>
                <w:rFonts w:ascii="Calibri" w:hAnsi="Calibri"/>
                <w:color w:val="1F2937"/>
                <w:sz w:val="17"/>
              </w:rPr>
              <w:t>Server re-score quality; write validated observation/evidence ledger</w:t>
            </w:r>
          </w:p>
        </w:tc>
        <w:tc>
          <w:tcPr>
            <w:tcW w:type="dxa" w:w="2760"/>
          </w:tcPr>
          <w:p>
            <w:pPr>
              <w:spacing w:after="0"/>
            </w:pPr>
            <w:r>
              <w:rPr>
                <w:rFonts w:ascii="Calibri" w:hAnsi="Calibri"/>
                <w:color w:val="1F2937"/>
                <w:sz w:val="17"/>
              </w:rPr>
              <w:t>Quarantine invalid; dead-letter after bounded retries.</w:t>
            </w:r>
          </w:p>
        </w:tc>
      </w:tr>
      <w:tr>
        <w:tc>
          <w:tcPr>
            <w:tcW w:type="dxa" w:w="2300"/>
          </w:tcPr>
          <w:p>
            <w:pPr>
              <w:spacing w:after="0"/>
            </w:pPr>
            <w:r>
              <w:rPr>
                <w:rFonts w:ascii="Calibri" w:hAnsi="Calibri"/>
                <w:color w:val="1F2937"/>
                <w:sz w:val="17"/>
              </w:rPr>
              <w:t>inferCommitment — observation batch trigger</w:t>
            </w:r>
          </w:p>
        </w:tc>
        <w:tc>
          <w:tcPr>
            <w:tcW w:type="dxa" w:w="4300"/>
          </w:tcPr>
          <w:p>
            <w:pPr>
              <w:spacing w:after="0"/>
            </w:pPr>
            <w:r>
              <w:rPr>
                <w:rFonts w:ascii="Calibri" w:hAnsi="Calibri"/>
                <w:color w:val="1F2937"/>
                <w:sz w:val="17"/>
              </w:rPr>
              <w:t>Infer checkpoint commitment from multiple signals; emit explanation and evidence</w:t>
            </w:r>
          </w:p>
        </w:tc>
        <w:tc>
          <w:tcPr>
            <w:tcW w:type="dxa" w:w="2760"/>
          </w:tcPr>
          <w:p>
            <w:pPr>
              <w:spacing w:after="0"/>
            </w:pPr>
            <w:r>
              <w:rPr>
                <w:rFonts w:ascii="Calibri" w:hAnsi="Calibri"/>
                <w:color w:val="1F2937"/>
                <w:sz w:val="17"/>
              </w:rPr>
              <w:t>Emit no inference when insufficient; never guess.</w:t>
            </w:r>
          </w:p>
        </w:tc>
      </w:tr>
      <w:tr>
        <w:tc>
          <w:tcPr>
            <w:tcW w:type="dxa" w:w="2300"/>
          </w:tcPr>
          <w:p>
            <w:pPr>
              <w:spacing w:after="0"/>
            </w:pPr>
            <w:r>
              <w:rPr>
                <w:rFonts w:ascii="Calibri" w:hAnsi="Calibri"/>
                <w:color w:val="1F2937"/>
                <w:sz w:val="17"/>
              </w:rPr>
              <w:t>completeObservation — commitment/transition trigger</w:t>
            </w:r>
          </w:p>
        </w:tc>
        <w:tc>
          <w:tcPr>
            <w:tcW w:type="dxa" w:w="4300"/>
          </w:tcPr>
          <w:p>
            <w:pPr>
              <w:spacing w:after="0"/>
            </w:pPr>
            <w:r>
              <w:rPr>
                <w:rFonts w:ascii="Calibri" w:hAnsi="Calibri"/>
                <w:color w:val="1F2937"/>
                <w:sz w:val="17"/>
              </w:rPr>
              <w:t>Close checkpoint/route observation and mark completed</w:t>
            </w:r>
          </w:p>
        </w:tc>
        <w:tc>
          <w:tcPr>
            <w:tcW w:type="dxa" w:w="2760"/>
          </w:tcPr>
          <w:p>
            <w:pPr>
              <w:spacing w:after="0"/>
            </w:pPr>
            <w:r>
              <w:rPr>
                <w:rFonts w:ascii="Calibri" w:hAnsi="Calibri"/>
                <w:color w:val="1F2937"/>
                <w:sz w:val="17"/>
              </w:rPr>
              <w:t>Idempotent state transition; incomplete remains pending.</w:t>
            </w:r>
          </w:p>
        </w:tc>
      </w:tr>
      <w:tr>
        <w:tc>
          <w:tcPr>
            <w:tcW w:type="dxa" w:w="2300"/>
          </w:tcPr>
          <w:p>
            <w:pPr>
              <w:spacing w:after="0"/>
            </w:pPr>
            <w:r>
              <w:rPr>
                <w:rFonts w:ascii="Calibri" w:hAnsi="Calibri"/>
                <w:color w:val="1F2937"/>
                <w:sz w:val="17"/>
              </w:rPr>
              <w:t>updateRouteVariant — validated observation create</w:t>
            </w:r>
          </w:p>
        </w:tc>
        <w:tc>
          <w:tcPr>
            <w:tcW w:type="dxa" w:w="4300"/>
          </w:tcPr>
          <w:p>
            <w:pPr>
              <w:spacing w:after="0"/>
            </w:pPr>
            <w:r>
              <w:rPr>
                <w:rFonts w:ascii="Calibri" w:hAnsi="Calibri"/>
                <w:color w:val="1F2937"/>
                <w:sz w:val="17"/>
              </w:rPr>
              <w:t>Update variant independent statistics and confidence vector</w:t>
            </w:r>
          </w:p>
        </w:tc>
        <w:tc>
          <w:tcPr>
            <w:tcW w:type="dxa" w:w="2760"/>
          </w:tcPr>
          <w:p>
            <w:pPr>
              <w:spacing w:after="0"/>
            </w:pPr>
            <w:r>
              <w:rPr>
                <w:rFonts w:ascii="Calibri" w:hAnsi="Calibri"/>
                <w:color w:val="1F2937"/>
                <w:sz w:val="17"/>
              </w:rPr>
              <w:t>Transactional revision; retry on contention.</w:t>
            </w:r>
          </w:p>
        </w:tc>
      </w:tr>
      <w:tr>
        <w:tc>
          <w:tcPr>
            <w:tcW w:type="dxa" w:w="2300"/>
          </w:tcPr>
          <w:p>
            <w:pPr>
              <w:spacing w:after="0"/>
            </w:pPr>
            <w:r>
              <w:rPr>
                <w:rFonts w:ascii="Calibri" w:hAnsi="Calibri"/>
                <w:color w:val="1F2937"/>
                <w:sz w:val="17"/>
              </w:rPr>
              <w:t>reconcileRouteFamily — queue/scheduled</w:t>
            </w:r>
          </w:p>
        </w:tc>
        <w:tc>
          <w:tcPr>
            <w:tcW w:type="dxa" w:w="4300"/>
          </w:tcPr>
          <w:p>
            <w:pPr>
              <w:spacing w:after="0"/>
            </w:pPr>
            <w:r>
              <w:rPr>
                <w:rFonts w:ascii="Calibri" w:hAnsi="Calibri"/>
                <w:color w:val="1F2937"/>
                <w:sz w:val="17"/>
              </w:rPr>
              <w:t>Update family aggregate; propose provisional merge/split with lineage</w:t>
            </w:r>
          </w:p>
        </w:tc>
        <w:tc>
          <w:tcPr>
            <w:tcW w:type="dxa" w:w="2760"/>
          </w:tcPr>
          <w:p>
            <w:pPr>
              <w:spacing w:after="0"/>
            </w:pPr>
            <w:r>
              <w:rPr>
                <w:rFonts w:ascii="Calibri" w:hAnsi="Calibri"/>
                <w:color w:val="1F2937"/>
                <w:sz w:val="17"/>
              </w:rPr>
              <w:t>Keep prior revision on failure; provisional until evidence threshold.</w:t>
            </w:r>
          </w:p>
        </w:tc>
      </w:tr>
      <w:tr>
        <w:tc>
          <w:tcPr>
            <w:tcW w:type="dxa" w:w="2300"/>
          </w:tcPr>
          <w:p>
            <w:pPr>
              <w:spacing w:after="0"/>
            </w:pPr>
            <w:r>
              <w:rPr>
                <w:rFonts w:ascii="Calibri" w:hAnsi="Calibri"/>
                <w:color w:val="1F2937"/>
                <w:sz w:val="17"/>
              </w:rPr>
              <w:t>updateCheckpointIntelligence — validated observation create</w:t>
            </w:r>
          </w:p>
        </w:tc>
        <w:tc>
          <w:tcPr>
            <w:tcW w:type="dxa" w:w="4300"/>
          </w:tcPr>
          <w:p>
            <w:pPr>
              <w:spacing w:after="0"/>
            </w:pPr>
            <w:r>
              <w:rPr>
                <w:rFonts w:ascii="Calibri" w:hAnsi="Calibri"/>
                <w:color w:val="1F2937"/>
                <w:sz w:val="17"/>
              </w:rPr>
              <w:t>Maintain checkpoint and sequence aggregates</w:t>
            </w:r>
          </w:p>
        </w:tc>
        <w:tc>
          <w:tcPr>
            <w:tcW w:type="dxa" w:w="2760"/>
          </w:tcPr>
          <w:p>
            <w:pPr>
              <w:spacing w:after="0"/>
            </w:pPr>
            <w:r>
              <w:rPr>
                <w:rFonts w:ascii="Calibri" w:hAnsi="Calibri"/>
                <w:color w:val="1F2937"/>
                <w:sz w:val="17"/>
              </w:rPr>
              <w:t>Rebuildable projection; retry safely.</w:t>
            </w:r>
          </w:p>
        </w:tc>
      </w:tr>
      <w:tr>
        <w:tc>
          <w:tcPr>
            <w:tcW w:type="dxa" w:w="2300"/>
          </w:tcPr>
          <w:p>
            <w:pPr>
              <w:spacing w:after="0"/>
            </w:pPr>
            <w:r>
              <w:rPr>
                <w:rFonts w:ascii="Calibri" w:hAnsi="Calibri"/>
                <w:color w:val="1F2937"/>
                <w:sz w:val="17"/>
              </w:rPr>
              <w:t>validateIntelligence — evidence create</w:t>
            </w:r>
          </w:p>
        </w:tc>
        <w:tc>
          <w:tcPr>
            <w:tcW w:type="dxa" w:w="4300"/>
          </w:tcPr>
          <w:p>
            <w:pPr>
              <w:spacing w:after="0"/>
            </w:pPr>
            <w:r>
              <w:rPr>
                <w:rFonts w:ascii="Calibri" w:hAnsi="Calibri"/>
                <w:color w:val="1F2937"/>
                <w:sz w:val="17"/>
              </w:rPr>
              <w:t>Promote completed to validated only when evidence/policy pass</w:t>
            </w:r>
          </w:p>
        </w:tc>
        <w:tc>
          <w:tcPr>
            <w:tcW w:type="dxa" w:w="2760"/>
          </w:tcPr>
          <w:p>
            <w:pPr>
              <w:spacing w:after="0"/>
            </w:pPr>
            <w:r>
              <w:rPr>
                <w:rFonts w:ascii="Calibri" w:hAnsi="Calibri"/>
                <w:color w:val="1F2937"/>
                <w:sz w:val="17"/>
              </w:rPr>
              <w:t>Record rejection reasons; no publication.</w:t>
            </w:r>
          </w:p>
        </w:tc>
      </w:tr>
      <w:tr>
        <w:tc>
          <w:tcPr>
            <w:tcW w:type="dxa" w:w="2300"/>
          </w:tcPr>
          <w:p>
            <w:pPr>
              <w:spacing w:after="0"/>
            </w:pPr>
            <w:r>
              <w:rPr>
                <w:rFonts w:ascii="Calibri" w:hAnsi="Calibri"/>
                <w:color w:val="1F2937"/>
                <w:sz w:val="17"/>
              </w:rPr>
              <w:t>publishCrowdIntelligence — validated item create</w:t>
            </w:r>
          </w:p>
        </w:tc>
        <w:tc>
          <w:tcPr>
            <w:tcW w:type="dxa" w:w="4300"/>
          </w:tcPr>
          <w:p>
            <w:pPr>
              <w:spacing w:after="0"/>
            </w:pPr>
            <w:r>
              <w:rPr>
                <w:rFonts w:ascii="Calibri" w:hAnsi="Calibri"/>
                <w:color w:val="1F2937"/>
                <w:sz w:val="17"/>
              </w:rPr>
              <w:t>Anonymize and publish crowd projection</w:t>
            </w:r>
          </w:p>
        </w:tc>
        <w:tc>
          <w:tcPr>
            <w:tcW w:type="dxa" w:w="2760"/>
          </w:tcPr>
          <w:p>
            <w:pPr>
              <w:spacing w:after="0"/>
            </w:pPr>
            <w:r>
              <w:rPr>
                <w:rFonts w:ascii="Calibri" w:hAnsi="Calibri"/>
                <w:color w:val="1F2937"/>
                <w:sz w:val="17"/>
              </w:rPr>
              <w:t>Privacy failure blocks publication.</w:t>
            </w:r>
          </w:p>
        </w:tc>
      </w:tr>
      <w:tr>
        <w:tc>
          <w:tcPr>
            <w:tcW w:type="dxa" w:w="2300"/>
          </w:tcPr>
          <w:p>
            <w:pPr>
              <w:spacing w:after="0"/>
            </w:pPr>
            <w:r>
              <w:rPr>
                <w:rFonts w:ascii="Calibri" w:hAnsi="Calibri"/>
                <w:color w:val="1F2937"/>
                <w:sz w:val="17"/>
              </w:rPr>
              <w:t>evaluateForCoDriver — crowd/network change</w:t>
            </w:r>
          </w:p>
        </w:tc>
        <w:tc>
          <w:tcPr>
            <w:tcW w:type="dxa" w:w="4300"/>
          </w:tcPr>
          <w:p>
            <w:pPr>
              <w:spacing w:after="0"/>
            </w:pPr>
            <w:r>
              <w:rPr>
                <w:rFonts w:ascii="Calibri" w:hAnsi="Calibri"/>
                <w:color w:val="1F2937"/>
                <w:sz w:val="17"/>
              </w:rPr>
              <w:t>Personalize/evaluate meaningfulness; create candidate event</w:t>
            </w:r>
          </w:p>
        </w:tc>
        <w:tc>
          <w:tcPr>
            <w:tcW w:type="dxa" w:w="2760"/>
          </w:tcPr>
          <w:p>
            <w:pPr>
              <w:spacing w:after="0"/>
            </w:pPr>
            <w:r>
              <w:rPr>
                <w:rFonts w:ascii="Calibri" w:hAnsi="Calibri"/>
                <w:color w:val="1F2937"/>
                <w:sz w:val="17"/>
              </w:rPr>
              <w:t>No surface when context stale or confidence dimensions insufficient.</w:t>
            </w:r>
          </w:p>
        </w:tc>
      </w:tr>
      <w:tr>
        <w:tc>
          <w:tcPr>
            <w:tcW w:type="dxa" w:w="2300"/>
          </w:tcPr>
          <w:p>
            <w:pPr>
              <w:spacing w:after="0"/>
            </w:pPr>
            <w:r>
              <w:rPr>
                <w:rFonts w:ascii="Calibri" w:hAnsi="Calibri"/>
                <w:color w:val="1F2937"/>
                <w:sz w:val="17"/>
              </w:rPr>
              <w:t>dispatchNotification — scheduled/queue</w:t>
            </w:r>
          </w:p>
        </w:tc>
        <w:tc>
          <w:tcPr>
            <w:tcW w:type="dxa" w:w="4300"/>
          </w:tcPr>
          <w:p>
            <w:pPr>
              <w:spacing w:after="0"/>
            </w:pPr>
            <w:r>
              <w:rPr>
                <w:rFonts w:ascii="Calibri" w:hAnsi="Calibri"/>
                <w:color w:val="1F2937"/>
                <w:sz w:val="17"/>
              </w:rPr>
              <w:t>Deliver eligible notification and mark receipt</w:t>
            </w:r>
          </w:p>
        </w:tc>
        <w:tc>
          <w:tcPr>
            <w:tcW w:type="dxa" w:w="2760"/>
          </w:tcPr>
          <w:p>
            <w:pPr>
              <w:spacing w:after="0"/>
            </w:pPr>
            <w:r>
              <w:rPr>
                <w:rFonts w:ascii="Calibri" w:hAnsi="Calibri"/>
                <w:color w:val="1F2937"/>
                <w:sz w:val="17"/>
              </w:rPr>
              <w:t>Deduplicate; exponential retry; expire stale.</w:t>
            </w:r>
          </w:p>
        </w:tc>
      </w:tr>
      <w:tr>
        <w:tc>
          <w:tcPr>
            <w:tcW w:type="dxa" w:w="2300"/>
          </w:tcPr>
          <w:p>
            <w:pPr>
              <w:spacing w:after="0"/>
            </w:pPr>
            <w:r>
              <w:rPr>
                <w:rFonts w:ascii="Calibri" w:hAnsi="Calibri"/>
                <w:color w:val="1F2937"/>
                <w:sz w:val="17"/>
              </w:rPr>
              <w:t>recordRecommendationOutcome — callable/trigger</w:t>
            </w:r>
          </w:p>
        </w:tc>
        <w:tc>
          <w:tcPr>
            <w:tcW w:type="dxa" w:w="4300"/>
          </w:tcPr>
          <w:p>
            <w:pPr>
              <w:spacing w:after="0"/>
            </w:pPr>
            <w:r>
              <w:rPr>
                <w:rFonts w:ascii="Calibri" w:hAnsi="Calibri"/>
                <w:color w:val="1F2937"/>
                <w:sz w:val="17"/>
              </w:rPr>
              <w:t>Associate later observed outcome with recommendation</w:t>
            </w:r>
          </w:p>
        </w:tc>
        <w:tc>
          <w:tcPr>
            <w:tcW w:type="dxa" w:w="2760"/>
          </w:tcPr>
          <w:p>
            <w:pPr>
              <w:spacing w:after="0"/>
            </w:pPr>
            <w:r>
              <w:rPr>
                <w:rFonts w:ascii="Calibri" w:hAnsi="Calibri"/>
                <w:color w:val="1F2937"/>
                <w:sz w:val="17"/>
              </w:rPr>
              <w:t>Pending until outcome sufficient; immutable audit record.</w:t>
            </w:r>
          </w:p>
        </w:tc>
      </w:tr>
      <w:tr>
        <w:tc>
          <w:tcPr>
            <w:tcW w:type="dxa" w:w="2300"/>
          </w:tcPr>
          <w:p>
            <w:pPr>
              <w:spacing w:after="0"/>
            </w:pPr>
            <w:r>
              <w:rPr>
                <w:rFonts w:ascii="Calibri" w:hAnsi="Calibri"/>
                <w:color w:val="1F2937"/>
                <w:sz w:val="17"/>
              </w:rPr>
              <w:t>evaluateRecommendation — outcome create</w:t>
            </w:r>
          </w:p>
        </w:tc>
        <w:tc>
          <w:tcPr>
            <w:tcW w:type="dxa" w:w="4300"/>
          </w:tcPr>
          <w:p>
            <w:pPr>
              <w:spacing w:after="0"/>
            </w:pPr>
            <w:r>
              <w:rPr>
                <w:rFonts w:ascii="Calibri" w:hAnsi="Calibri"/>
                <w:color w:val="1F2937"/>
                <w:sz w:val="17"/>
              </w:rPr>
              <w:t>Layer 7 accuracy/calibration evaluation</w:t>
            </w:r>
          </w:p>
        </w:tc>
        <w:tc>
          <w:tcPr>
            <w:tcW w:type="dxa" w:w="2760"/>
          </w:tcPr>
          <w:p>
            <w:pPr>
              <w:spacing w:after="0"/>
            </w:pPr>
            <w:r>
              <w:rPr>
                <w:rFonts w:ascii="Calibri" w:hAnsi="Calibri"/>
                <w:color w:val="1F2937"/>
                <w:sz w:val="17"/>
              </w:rPr>
              <w:t>No model mutation during active rally; enqueue post-rally learning.</w:t>
            </w:r>
          </w:p>
        </w:tc>
      </w:tr>
      <w:tr>
        <w:tc>
          <w:tcPr>
            <w:tcW w:type="dxa" w:w="2300"/>
          </w:tcPr>
          <w:p>
            <w:pPr>
              <w:spacing w:after="0"/>
            </w:pPr>
            <w:r>
              <w:rPr>
                <w:rFonts w:ascii="Calibri" w:hAnsi="Calibri"/>
                <w:color w:val="1F2937"/>
                <w:sz w:val="17"/>
              </w:rPr>
              <w:t>postRallyModelUpdate — scheduled/admin</w:t>
            </w:r>
          </w:p>
        </w:tc>
        <w:tc>
          <w:tcPr>
            <w:tcW w:type="dxa" w:w="4300"/>
          </w:tcPr>
          <w:p>
            <w:pPr>
              <w:spacing w:after="0"/>
            </w:pPr>
            <w:r>
              <w:rPr>
                <w:rFonts w:ascii="Calibri" w:hAnsi="Calibri"/>
                <w:color w:val="1F2937"/>
                <w:sz w:val="17"/>
              </w:rPr>
              <w:t>Apply approved learning after rally freeze ends</w:t>
            </w:r>
          </w:p>
        </w:tc>
        <w:tc>
          <w:tcPr>
            <w:tcW w:type="dxa" w:w="2760"/>
          </w:tcPr>
          <w:p>
            <w:pPr>
              <w:spacing w:after="0"/>
            </w:pPr>
            <w:r>
              <w:rPr>
                <w:rFonts w:ascii="Calibri" w:hAnsi="Calibri"/>
                <w:color w:val="1F2937"/>
                <w:sz w:val="17"/>
              </w:rPr>
              <w:t>Versioned model, canary, rollback pointer.</w:t>
            </w:r>
          </w:p>
        </w:tc>
      </w:tr>
      <w:tr>
        <w:tc>
          <w:tcPr>
            <w:tcW w:type="dxa" w:w="2300"/>
          </w:tcPr>
          <w:p>
            <w:pPr>
              <w:spacing w:after="0"/>
            </w:pPr>
            <w:r>
              <w:rPr>
                <w:rFonts w:ascii="Calibri" w:hAnsi="Calibri"/>
                <w:color w:val="1F2937"/>
                <w:sz w:val="17"/>
              </w:rPr>
              <w:t>recomputeCompatibility — scheduled/on profile</w:t>
            </w:r>
          </w:p>
        </w:tc>
        <w:tc>
          <w:tcPr>
            <w:tcW w:type="dxa" w:w="4300"/>
          </w:tcPr>
          <w:p>
            <w:pPr>
              <w:spacing w:after="0"/>
            </w:pPr>
            <w:r>
              <w:rPr>
                <w:rFonts w:ascii="Calibri" w:hAnsi="Calibri"/>
                <w:color w:val="1F2937"/>
                <w:sz w:val="17"/>
              </w:rPr>
              <w:t>Compute explainable compatibility evidence</w:t>
            </w:r>
          </w:p>
        </w:tc>
        <w:tc>
          <w:tcPr>
            <w:tcW w:type="dxa" w:w="2760"/>
          </w:tcPr>
          <w:p>
            <w:pPr>
              <w:spacing w:after="0"/>
            </w:pPr>
            <w:r>
              <w:rPr>
                <w:rFonts w:ascii="Calibri" w:hAnsi="Calibri"/>
                <w:color w:val="1F2937"/>
                <w:sz w:val="17"/>
              </w:rPr>
              <w:t>Retain previous score if computation fails.</w:t>
            </w:r>
          </w:p>
        </w:tc>
      </w:tr>
      <w:tr>
        <w:tc>
          <w:tcPr>
            <w:tcW w:type="dxa" w:w="2300"/>
          </w:tcPr>
          <w:p>
            <w:pPr>
              <w:spacing w:after="0"/>
            </w:pPr>
            <w:r>
              <w:rPr>
                <w:rFonts w:ascii="Calibri" w:hAnsi="Calibri"/>
                <w:color w:val="1F2937"/>
                <w:sz w:val="17"/>
              </w:rPr>
              <w:t>privacyExport / privacyDelete — callable</w:t>
            </w:r>
          </w:p>
        </w:tc>
        <w:tc>
          <w:tcPr>
            <w:tcW w:type="dxa" w:w="4300"/>
          </w:tcPr>
          <w:p>
            <w:pPr>
              <w:spacing w:after="0"/>
            </w:pPr>
            <w:r>
              <w:rPr>
                <w:rFonts w:ascii="Calibri" w:hAnsi="Calibri"/>
                <w:color w:val="1F2937"/>
                <w:sz w:val="17"/>
              </w:rPr>
              <w:t>GDPR/CCPA export or deletion workflow</w:t>
            </w:r>
          </w:p>
        </w:tc>
        <w:tc>
          <w:tcPr>
            <w:tcW w:type="dxa" w:w="2760"/>
          </w:tcPr>
          <w:p>
            <w:pPr>
              <w:spacing w:after="0"/>
            </w:pPr>
            <w:r>
              <w:rPr>
                <w:rFonts w:ascii="Calibri" w:hAnsi="Calibri"/>
                <w:color w:val="1F2937"/>
                <w:sz w:val="17"/>
              </w:rPr>
              <w:t>Authorized, audited, resumable, signed result.</w:t>
            </w:r>
          </w:p>
        </w:tc>
      </w:tr>
      <w:tr>
        <w:tc>
          <w:tcPr>
            <w:tcW w:type="dxa" w:w="2300"/>
          </w:tcPr>
          <w:p>
            <w:pPr>
              <w:spacing w:after="0"/>
            </w:pPr>
            <w:r>
              <w:rPr>
                <w:rFonts w:ascii="Calibri" w:hAnsi="Calibri"/>
                <w:color w:val="1F2937"/>
                <w:sz w:val="17"/>
              </w:rPr>
              <w:t>archiveHistoricalDNA — scheduled</w:t>
            </w:r>
          </w:p>
        </w:tc>
        <w:tc>
          <w:tcPr>
            <w:tcW w:type="dxa" w:w="4300"/>
          </w:tcPr>
          <w:p>
            <w:pPr>
              <w:spacing w:after="0"/>
            </w:pPr>
            <w:r>
              <w:rPr>
                <w:rFonts w:ascii="Calibri" w:hAnsi="Calibri"/>
                <w:color w:val="1F2937"/>
                <w:sz w:val="17"/>
              </w:rPr>
              <w:t>Move superseded lineage to historical/archive tier</w:t>
            </w:r>
          </w:p>
        </w:tc>
        <w:tc>
          <w:tcPr>
            <w:tcW w:type="dxa" w:w="2760"/>
          </w:tcPr>
          <w:p>
            <w:pPr>
              <w:spacing w:after="0"/>
            </w:pPr>
            <w:r>
              <w:rPr>
                <w:rFonts w:ascii="Calibri" w:hAnsi="Calibri"/>
                <w:color w:val="1F2937"/>
                <w:sz w:val="17"/>
              </w:rPr>
              <w:t>Mark-and-sweep; never hard-delete active lineage.</w:t>
            </w:r>
          </w:p>
        </w:tc>
      </w:tr>
      <w:tr>
        <w:tc>
          <w:tcPr>
            <w:tcW w:type="dxa" w:w="2300"/>
          </w:tcPr>
          <w:p>
            <w:pPr>
              <w:spacing w:after="0"/>
            </w:pPr>
            <w:r>
              <w:rPr>
                <w:rFonts w:ascii="Calibri" w:hAnsi="Calibri"/>
                <w:color w:val="1F2937"/>
                <w:sz w:val="17"/>
              </w:rPr>
              <w:t>deadLetterReplay — admin callable</w:t>
            </w:r>
          </w:p>
        </w:tc>
        <w:tc>
          <w:tcPr>
            <w:tcW w:type="dxa" w:w="4300"/>
          </w:tcPr>
          <w:p>
            <w:pPr>
              <w:spacing w:after="0"/>
            </w:pPr>
            <w:r>
              <w:rPr>
                <w:rFonts w:ascii="Calibri" w:hAnsi="Calibri"/>
                <w:color w:val="1F2937"/>
                <w:sz w:val="17"/>
              </w:rPr>
              <w:t>Validate and replay selected failures</w:t>
            </w:r>
          </w:p>
        </w:tc>
        <w:tc>
          <w:tcPr>
            <w:tcW w:type="dxa" w:w="2760"/>
          </w:tcPr>
          <w:p>
            <w:pPr>
              <w:spacing w:after="0"/>
            </w:pPr>
            <w:r>
              <w:rPr>
                <w:rFonts w:ascii="Calibri" w:hAnsi="Calibri"/>
                <w:color w:val="1F2937"/>
                <w:sz w:val="17"/>
              </w:rPr>
              <w:t>Admin-only; replay idempotency enforced.</w:t>
            </w:r>
          </w:p>
        </w:tc>
      </w:tr>
    </w:tbl>
    <w:p>
      <w:pPr>
        <w:spacing w:after="40"/>
      </w:pPr>
    </w:p>
    <w:p>
      <w:pPr>
        <w:pStyle w:val="Heading2"/>
      </w:pPr>
      <w:r>
        <w:t>5.2 API contracts</w:t>
      </w:r>
    </w:p>
    <w:tbl>
      <w:tblPr>
        <w:tblStyle w:val="TableGrid"/>
        <w:tblW w:type="dxa" w:w="9360"/>
        <w:jc w:val="left"/>
        <w:tblLayout w:type="fixed"/>
        <w:tblLook w:firstColumn="1" w:firstRow="1" w:lastColumn="0" w:lastRow="0" w:noHBand="0" w:noVBand="1" w:val="04A0"/>
        <w:tblInd w:w="120" w:type="dxa"/>
      </w:tblPr>
      <w:tblGrid>
        <w:gridCol w:w="2700"/>
        <w:gridCol w:w="4000"/>
        <w:gridCol w:w="2660"/>
      </w:tblGrid>
      <w:tr>
        <w:trPr>
          <w:tblHeader w:val="true"/>
        </w:trPr>
        <w:tc>
          <w:tcPr>
            <w:tcW w:type="dxa" w:w="2700"/>
            <w:vAlign w:val="top"/>
            <w:tcMar>
              <w:top w:w="80" w:type="dxa"/>
              <w:bottom w:w="80" w:type="dxa"/>
              <w:start w:w="120" w:type="dxa"/>
              <w:end w:w="120" w:type="dxa"/>
            </w:tcMar>
            <w:shd w:fill="F2F4F7"/>
          </w:tcPr>
          <w:p>
            <w:pPr>
              <w:spacing w:after="0"/>
            </w:pPr>
            <w:r>
              <w:rPr>
                <w:rFonts w:ascii="Calibri" w:hAnsi="Calibri"/>
                <w:b/>
                <w:color w:val="18324A"/>
                <w:sz w:val="18"/>
              </w:rPr>
              <w:t>Endpoint</w:t>
            </w:r>
          </w:p>
        </w:tc>
        <w:tc>
          <w:tcPr>
            <w:tcW w:type="dxa" w:w="4000"/>
            <w:vAlign w:val="top"/>
            <w:tcMar>
              <w:top w:w="80" w:type="dxa"/>
              <w:bottom w:w="80" w:type="dxa"/>
              <w:start w:w="120" w:type="dxa"/>
              <w:end w:w="120" w:type="dxa"/>
            </w:tcMar>
            <w:shd w:fill="F2F4F7"/>
          </w:tcPr>
          <w:p>
            <w:pPr>
              <w:spacing w:after="0"/>
            </w:pPr>
            <w:r>
              <w:rPr>
                <w:rFonts w:ascii="Calibri" w:hAnsi="Calibri"/>
                <w:b/>
                <w:color w:val="18324A"/>
                <w:sz w:val="18"/>
              </w:rPr>
              <w:t>Input / output</w:t>
            </w:r>
          </w:p>
        </w:tc>
        <w:tc>
          <w:tcPr>
            <w:tcW w:type="dxa" w:w="2660"/>
            <w:vAlign w:val="top"/>
            <w:tcMar>
              <w:top w:w="80" w:type="dxa"/>
              <w:bottom w:w="80" w:type="dxa"/>
              <w:start w:w="120" w:type="dxa"/>
              <w:end w:w="120" w:type="dxa"/>
            </w:tcMar>
            <w:shd w:fill="F2F4F7"/>
          </w:tcPr>
          <w:p>
            <w:pPr>
              <w:spacing w:after="0"/>
            </w:pPr>
            <w:r>
              <w:rPr>
                <w:rFonts w:ascii="Calibri" w:hAnsi="Calibri"/>
                <w:b/>
                <w:color w:val="18324A"/>
                <w:sz w:val="18"/>
              </w:rPr>
              <w:t>Auth and idempotency</w:t>
            </w:r>
          </w:p>
        </w:tc>
      </w:tr>
      <w:tr>
        <w:tc>
          <w:tcPr>
            <w:tcW w:type="dxa" w:w="2700"/>
          </w:tcPr>
          <w:p>
            <w:pPr>
              <w:spacing w:after="0"/>
            </w:pPr>
            <w:r>
              <w:rPr>
                <w:rFonts w:ascii="Calibri" w:hAnsi="Calibri"/>
                <w:color w:val="1F2937"/>
                <w:sz w:val="17"/>
              </w:rPr>
              <w:t>POST /v1/events/{eventId}/observations</w:t>
            </w:r>
          </w:p>
        </w:tc>
        <w:tc>
          <w:tcPr>
            <w:tcW w:type="dxa" w:w="4000"/>
          </w:tcPr>
          <w:p>
            <w:pPr>
              <w:spacing w:after="0"/>
            </w:pPr>
            <w:r>
              <w:rPr>
                <w:rFonts w:ascii="Calibri" w:hAnsi="Calibri"/>
                <w:color w:val="1F2937"/>
                <w:sz w:val="17"/>
              </w:rPr>
              <w:t>ObservationEnvelope → Receipt</w:t>
            </w:r>
          </w:p>
        </w:tc>
        <w:tc>
          <w:tcPr>
            <w:tcW w:type="dxa" w:w="2660"/>
          </w:tcPr>
          <w:p>
            <w:pPr>
              <w:spacing w:after="0"/>
            </w:pPr>
            <w:r>
              <w:rPr>
                <w:rFonts w:ascii="Calibri" w:hAnsi="Calibri"/>
                <w:color w:val="1F2937"/>
                <w:sz w:val="17"/>
              </w:rPr>
              <w:t>Firebase ID token; Idempotency-Key required.</w:t>
            </w:r>
          </w:p>
        </w:tc>
      </w:tr>
      <w:tr>
        <w:tc>
          <w:tcPr>
            <w:tcW w:type="dxa" w:w="2700"/>
          </w:tcPr>
          <w:p>
            <w:pPr>
              <w:spacing w:after="0"/>
            </w:pPr>
            <w:r>
              <w:rPr>
                <w:rFonts w:ascii="Calibri" w:hAnsi="Calibri"/>
                <w:color w:val="1F2937"/>
                <w:sz w:val="17"/>
              </w:rPr>
              <w:t>POST /v1/events/{eventId}/recommendations/{id}/ack</w:t>
            </w:r>
          </w:p>
        </w:tc>
        <w:tc>
          <w:tcPr>
            <w:tcW w:type="dxa" w:w="4000"/>
          </w:tcPr>
          <w:p>
            <w:pPr>
              <w:spacing w:after="0"/>
            </w:pPr>
            <w:r>
              <w:rPr>
                <w:rFonts w:ascii="Calibri" w:hAnsi="Calibri"/>
                <w:color w:val="1F2937"/>
                <w:sz w:val="17"/>
              </w:rPr>
              <w:t>{acknowledgedAt, clientEventId} → Event state</w:t>
            </w:r>
          </w:p>
        </w:tc>
        <w:tc>
          <w:tcPr>
            <w:tcW w:type="dxa" w:w="2660"/>
          </w:tcPr>
          <w:p>
            <w:pPr>
              <w:spacing w:after="0"/>
            </w:pPr>
            <w:r>
              <w:rPr>
                <w:rFonts w:ascii="Calibri" w:hAnsi="Calibri"/>
                <w:color w:val="1F2937"/>
                <w:sz w:val="17"/>
              </w:rPr>
              <w:t>Owner only; repeat returns same state.</w:t>
            </w:r>
          </w:p>
        </w:tc>
      </w:tr>
      <w:tr>
        <w:tc>
          <w:tcPr>
            <w:tcW w:type="dxa" w:w="2700"/>
          </w:tcPr>
          <w:p>
            <w:pPr>
              <w:spacing w:after="0"/>
            </w:pPr>
            <w:r>
              <w:rPr>
                <w:rFonts w:ascii="Calibri" w:hAnsi="Calibri"/>
                <w:color w:val="1F2937"/>
                <w:sz w:val="17"/>
              </w:rPr>
              <w:t>GET /v1/events/{eventId}/bootstrap</w:t>
            </w:r>
          </w:p>
        </w:tc>
        <w:tc>
          <w:tcPr>
            <w:tcW w:type="dxa" w:w="4000"/>
          </w:tcPr>
          <w:p>
            <w:pPr>
              <w:spacing w:after="0"/>
            </w:pPr>
            <w:r>
              <w:rPr>
                <w:rFonts w:ascii="Calibri" w:hAnsi="Calibri"/>
                <w:color w:val="1F2937"/>
                <w:sz w:val="17"/>
              </w:rPr>
              <w:t>Versioned checkpoints, current DNA, cursors → ETag response</w:t>
            </w:r>
          </w:p>
        </w:tc>
        <w:tc>
          <w:tcPr>
            <w:tcW w:type="dxa" w:w="2660"/>
          </w:tcPr>
          <w:p>
            <w:pPr>
              <w:spacing w:after="0"/>
            </w:pPr>
            <w:r>
              <w:rPr>
                <w:rFonts w:ascii="Calibri" w:hAnsi="Calibri"/>
                <w:color w:val="1F2937"/>
                <w:sz w:val="17"/>
              </w:rPr>
              <w:t>Event membership; cacheable private response.</w:t>
            </w:r>
          </w:p>
        </w:tc>
      </w:tr>
      <w:tr>
        <w:tc>
          <w:tcPr>
            <w:tcW w:type="dxa" w:w="2700"/>
          </w:tcPr>
          <w:p>
            <w:pPr>
              <w:spacing w:after="0"/>
            </w:pPr>
            <w:r>
              <w:rPr>
                <w:rFonts w:ascii="Calibri" w:hAnsi="Calibri"/>
                <w:color w:val="1F2937"/>
                <w:sz w:val="17"/>
              </w:rPr>
              <w:t>GET /v1/events/{eventId}/sync?cursor=</w:t>
            </w:r>
          </w:p>
        </w:tc>
        <w:tc>
          <w:tcPr>
            <w:tcW w:type="dxa" w:w="4000"/>
          </w:tcPr>
          <w:p>
            <w:pPr>
              <w:spacing w:after="0"/>
            </w:pPr>
            <w:r>
              <w:rPr>
                <w:rFonts w:ascii="Calibri" w:hAnsi="Calibri"/>
                <w:color w:val="1F2937"/>
                <w:sz w:val="17"/>
              </w:rPr>
              <w:t>Ordered deltas + nextCursor</w:t>
            </w:r>
          </w:p>
        </w:tc>
        <w:tc>
          <w:tcPr>
            <w:tcW w:type="dxa" w:w="2660"/>
          </w:tcPr>
          <w:p>
            <w:pPr>
              <w:spacing w:after="0"/>
            </w:pPr>
            <w:r>
              <w:rPr>
                <w:rFonts w:ascii="Calibri" w:hAnsi="Calibri"/>
                <w:color w:val="1F2937"/>
                <w:sz w:val="17"/>
              </w:rPr>
              <w:t>Membership; bounded page size.</w:t>
            </w:r>
          </w:p>
        </w:tc>
      </w:tr>
      <w:tr>
        <w:tc>
          <w:tcPr>
            <w:tcW w:type="dxa" w:w="2700"/>
          </w:tcPr>
          <w:p>
            <w:pPr>
              <w:spacing w:after="0"/>
            </w:pPr>
            <w:r>
              <w:rPr>
                <w:rFonts w:ascii="Calibri" w:hAnsi="Calibri"/>
                <w:color w:val="1F2937"/>
                <w:sz w:val="17"/>
              </w:rPr>
              <w:t>PUT /v1/users/{uid}/network/{memberId}</w:t>
            </w:r>
          </w:p>
        </w:tc>
        <w:tc>
          <w:tcPr>
            <w:tcW w:type="dxa" w:w="4000"/>
          </w:tcPr>
          <w:p>
            <w:pPr>
              <w:spacing w:after="0"/>
            </w:pPr>
            <w:r>
              <w:rPr>
                <w:rFonts w:ascii="Calibri" w:hAnsi="Calibri"/>
                <w:color w:val="1F2937"/>
                <w:sz w:val="17"/>
              </w:rPr>
              <w:t>Network member → revision</w:t>
            </w:r>
          </w:p>
        </w:tc>
        <w:tc>
          <w:tcPr>
            <w:tcW w:type="dxa" w:w="2660"/>
          </w:tcPr>
          <w:p>
            <w:pPr>
              <w:spacing w:after="0"/>
            </w:pPr>
            <w:r>
              <w:rPr>
                <w:rFonts w:ascii="Calibri" w:hAnsi="Calibri"/>
                <w:color w:val="1F2937"/>
                <w:sz w:val="17"/>
              </w:rPr>
              <w:t>Owner only; If-Match revision.</w:t>
            </w:r>
          </w:p>
        </w:tc>
      </w:tr>
      <w:tr>
        <w:tc>
          <w:tcPr>
            <w:tcW w:type="dxa" w:w="2700"/>
          </w:tcPr>
          <w:p>
            <w:pPr>
              <w:spacing w:after="0"/>
            </w:pPr>
            <w:r>
              <w:rPr>
                <w:rFonts w:ascii="Calibri" w:hAnsi="Calibri"/>
                <w:color w:val="1F2937"/>
                <w:sz w:val="17"/>
              </w:rPr>
              <w:t>DELETE /v1/users/{uid}/network/{memberId}</w:t>
            </w:r>
          </w:p>
        </w:tc>
        <w:tc>
          <w:tcPr>
            <w:tcW w:type="dxa" w:w="4000"/>
          </w:tcPr>
          <w:p>
            <w:pPr>
              <w:spacing w:after="0"/>
            </w:pPr>
            <w:r>
              <w:rPr>
                <w:rFonts w:ascii="Calibri" w:hAnsi="Calibri"/>
                <w:color w:val="1F2937"/>
                <w:sz w:val="17"/>
              </w:rPr>
              <w:t>Tombstone → revision</w:t>
            </w:r>
          </w:p>
        </w:tc>
        <w:tc>
          <w:tcPr>
            <w:tcW w:type="dxa" w:w="2660"/>
          </w:tcPr>
          <w:p>
            <w:pPr>
              <w:spacing w:after="0"/>
            </w:pPr>
            <w:r>
              <w:rPr>
                <w:rFonts w:ascii="Calibri" w:hAnsi="Calibri"/>
                <w:color w:val="1F2937"/>
                <w:sz w:val="17"/>
              </w:rPr>
              <w:t>Owner only; idempotent.</w:t>
            </w:r>
          </w:p>
        </w:tc>
      </w:tr>
      <w:tr>
        <w:tc>
          <w:tcPr>
            <w:tcW w:type="dxa" w:w="2700"/>
          </w:tcPr>
          <w:p>
            <w:pPr>
              <w:spacing w:after="0"/>
            </w:pPr>
            <w:r>
              <w:rPr>
                <w:rFonts w:ascii="Calibri" w:hAnsi="Calibri"/>
                <w:color w:val="1F2937"/>
                <w:sz w:val="17"/>
              </w:rPr>
              <w:t>POST /v1/privacy/export</w:t>
            </w:r>
          </w:p>
        </w:tc>
        <w:tc>
          <w:tcPr>
            <w:tcW w:type="dxa" w:w="4000"/>
          </w:tcPr>
          <w:p>
            <w:pPr>
              <w:spacing w:after="0"/>
            </w:pPr>
            <w:r>
              <w:rPr>
                <w:rFonts w:ascii="Calibri" w:hAnsi="Calibri"/>
                <w:color w:val="1F2937"/>
                <w:sz w:val="17"/>
              </w:rPr>
              <w:t>Scope → requestId</w:t>
            </w:r>
          </w:p>
        </w:tc>
        <w:tc>
          <w:tcPr>
            <w:tcW w:type="dxa" w:w="2660"/>
          </w:tcPr>
          <w:p>
            <w:pPr>
              <w:spacing w:after="0"/>
            </w:pPr>
            <w:r>
              <w:rPr>
                <w:rFonts w:ascii="Calibri" w:hAnsi="Calibri"/>
                <w:color w:val="1F2937"/>
                <w:sz w:val="17"/>
              </w:rPr>
              <w:t>Recent auth; rate limited.</w:t>
            </w:r>
          </w:p>
        </w:tc>
      </w:tr>
      <w:tr>
        <w:tc>
          <w:tcPr>
            <w:tcW w:type="dxa" w:w="2700"/>
          </w:tcPr>
          <w:p>
            <w:pPr>
              <w:spacing w:after="0"/>
            </w:pPr>
            <w:r>
              <w:rPr>
                <w:rFonts w:ascii="Calibri" w:hAnsi="Calibri"/>
                <w:color w:val="1F2937"/>
                <w:sz w:val="17"/>
              </w:rPr>
              <w:t>POST /v1/privacy/delete</w:t>
            </w:r>
          </w:p>
        </w:tc>
        <w:tc>
          <w:tcPr>
            <w:tcW w:type="dxa" w:w="4000"/>
          </w:tcPr>
          <w:p>
            <w:pPr>
              <w:spacing w:after="0"/>
            </w:pPr>
            <w:r>
              <w:rPr>
                <w:rFonts w:ascii="Calibri" w:hAnsi="Calibri"/>
                <w:color w:val="1F2937"/>
                <w:sz w:val="17"/>
              </w:rPr>
              <w:t>Confirmation token → requestId</w:t>
            </w:r>
          </w:p>
        </w:tc>
        <w:tc>
          <w:tcPr>
            <w:tcW w:type="dxa" w:w="2660"/>
          </w:tcPr>
          <w:p>
            <w:pPr>
              <w:spacing w:after="0"/>
            </w:pPr>
            <w:r>
              <w:rPr>
                <w:rFonts w:ascii="Calibri" w:hAnsi="Calibri"/>
                <w:color w:val="1F2937"/>
                <w:sz w:val="17"/>
              </w:rPr>
              <w:t>Recent auth; delayed/reversible window.</w:t>
            </w:r>
          </w:p>
        </w:tc>
      </w:tr>
    </w:tbl>
    <w:p>
      <w:pPr>
        <w:spacing w:after="40"/>
      </w:pPr>
    </w:p>
    <w:p>
      <w:pPr>
        <w:pStyle w:val="ListBullet"/>
        <w:ind w:left="720" w:hanging="360"/>
      </w:pPr>
      <w:r>
        <w:t>All contracts use JSON Schema, schemaVersion, requestId, traceId, and explicit error codes.</w:t>
      </w:r>
    </w:p>
    <w:p>
      <w:pPr>
        <w:pStyle w:val="ListBullet"/>
        <w:ind w:left="720" w:hanging="360"/>
      </w:pPr>
      <w:r>
        <w:t>429 responses include retryAfterMs; clients apply full-jitter exponential backoff.</w:t>
      </w:r>
    </w:p>
    <w:p>
      <w:pPr>
        <w:pStyle w:val="ListBullet"/>
        <w:ind w:left="720" w:hanging="360"/>
      </w:pPr>
      <w:r>
        <w:t>No API exposes raw cross-rider locations or personal contact data.</w:t>
      </w:r>
    </w:p>
    <w:p>
      <w:pPr>
        <w:pStyle w:val="ListBullet"/>
        <w:ind w:left="720" w:hanging="360"/>
      </w:pPr>
      <w:r>
        <w:t>REST metadata from GPS Checkpoints remains isolated in the existing adapter and is not treated as CannonMap authority.</w:t>
      </w:r>
    </w:p>
    <w:p>
      <w:pPr>
        <w:pStyle w:val="Heading1"/>
      </w:pPr>
      <w:r>
        <w:t>Part 6 — Client Architecture</w:t>
      </w:r>
    </w:p>
    <w:p>
      <w:pPr>
        <w:pStyle w:val="Heading2"/>
      </w:pPr>
      <w:r>
        <w:t>6.1 Map engine</w:t>
      </w:r>
    </w:p>
    <w:p>
      <w:pPr>
        <w:pStyle w:val="ListBullet"/>
        <w:ind w:left="720" w:hanging="360"/>
      </w:pPr>
      <w:r>
        <w:t>Own one Leaflet map and one LayerRegistry keyed by layer type and entity ID.</w:t>
      </w:r>
    </w:p>
    <w:p>
      <w:pPr>
        <w:pStyle w:val="ListBullet"/>
        <w:ind w:left="720" w:hanging="360"/>
      </w:pPr>
      <w:r>
        <w:t>Consume presentation models only; never subscribe to Firebase or read IndexedDB directly.</w:t>
      </w:r>
    </w:p>
    <w:p>
      <w:pPr>
        <w:pStyle w:val="ListBullet"/>
        <w:ind w:left="720" w:hanging="360"/>
      </w:pPr>
      <w:r>
        <w:t>Apply incremental add/update/remove operations instead of clearing all competitor layers at scale.</w:t>
      </w:r>
    </w:p>
    <w:p>
      <w:pPr>
        <w:pStyle w:val="ListBullet"/>
        <w:ind w:left="720" w:hanging="360"/>
      </w:pPr>
      <w:r>
        <w:t>Use viewport filtering, requestAnimationFrame batching, and canvas/WebGL-compatible point paths where practical.</w:t>
      </w:r>
    </w:p>
    <w:p>
      <w:pPr>
        <w:pStyle w:val="ListBullet"/>
        <w:ind w:left="720" w:hanging="360"/>
      </w:pPr>
      <w:r>
        <w:t>Preserve the existing satellite base-layer choice and stationary-event overlays.</w:t>
      </w:r>
    </w:p>
    <w:p>
      <w:pPr>
        <w:pStyle w:val="Heading2"/>
      </w:pPr>
      <w:r>
        <w:t>6.2 Event bus</w:t>
      </w:r>
    </w:p>
    <w:p>
      <w:pPr>
        <w:spacing w:after="120"/>
      </w:pPr>
      <w:r>
        <w:rPr>
          <w:rFonts w:ascii="Calibri" w:hAnsi="Calibri"/>
          <w:b w:val="0"/>
          <w:i w:val="0"/>
        </w:rPr>
        <w:t>A synchronous in-process bus carries immutable domain events. Handlers enqueue asynchronous work but do not block publishers. Events include eventId, entityId, occurredAt, correlationId, causationId, schemaVersion, and payload. Development builds detect duplicate subscription keys.</w:t>
      </w:r>
    </w:p>
    <w:p>
      <w:pPr>
        <w:pStyle w:val="Heading2"/>
      </w:pPr>
      <w:r>
        <w:t>6.3 State store</w:t>
      </w:r>
    </w:p>
    <w:p>
      <w:pPr>
        <w:pStyle w:val="ListBullet"/>
        <w:ind w:left="720" w:hanging="360"/>
      </w:pPr>
      <w:r>
        <w:t>Normalized slices: session, project, map, rally, competitors, riderPreferences, observations, intelligence, sync, and UI.</w:t>
      </w:r>
    </w:p>
    <w:p>
      <w:pPr>
        <w:pStyle w:val="ListBullet"/>
        <w:ind w:left="720" w:hanging="360"/>
      </w:pPr>
      <w:r>
        <w:t>Reducers are pure; commands invoke repositories/services and then dispatch domain events.</w:t>
      </w:r>
    </w:p>
    <w:p>
      <w:pPr>
        <w:pStyle w:val="ListBullet"/>
        <w:ind w:left="720" w:hanging="360"/>
      </w:pPr>
      <w:r>
        <w:t>Feed records, persisted UI preferences, Leaflet layer objects, and stationary-event records remain distinct.</w:t>
      </w:r>
    </w:p>
    <w:p>
      <w:pPr>
        <w:pStyle w:val="ListBullet"/>
        <w:ind w:left="720" w:hanging="360"/>
      </w:pPr>
      <w:r>
        <w:t>Selectors compute view models; DOM controllers never mutate domain objects.</w:t>
      </w:r>
    </w:p>
    <w:p>
      <w:pPr>
        <w:pStyle w:val="Heading2"/>
      </w:pPr>
      <w:r>
        <w:t>6.4 Caching, offline queue, and background sync</w:t>
      </w:r>
    </w:p>
    <w:p>
      <w:pPr>
        <w:pStyle w:val="CodeBlock"/>
        <w:shd w:fill="F6F8FA"/>
      </w:pPr>
      <w:r>
        <w:t>capture → IndexedDB observations (transaction)</w:t>
        <w:br/>
        <w:t xml:space="preserve">        → observationOutbox (same transaction)</w:t>
        <w:br/>
        <w:t xml:space="preserve">        → optimistic local event</w:t>
        <w:br/>
        <w:t>online/sync → batch by event/session → authenticated ingest</w:t>
        <w:br/>
        <w:t xml:space="preserve">            → receipt persisted → outbox acknowledged</w:t>
        <w:br/>
        <w:t xml:space="preserve">            → server deltas reconciled by cursor</w:t>
        <w:br/>
        <w:t>failure → nextAttemptAt + full jitter → bounded retries → local dead letter</w:t>
        <w:br/>
        <w:t>service worker → application shell + sync wake-up only</w:t>
        <w:br/>
        <w:t>foreground SyncEngine → authoritative queue owner</w:t>
      </w:r>
    </w:p>
    <w:p>
      <w:pPr>
        <w:spacing w:before="100" w:after="160"/>
        <w:ind w:left="216" w:right="216"/>
        <w:shd w:fill="F4F6F9"/>
      </w:pPr>
      <w:r>
        <w:rPr>
          <w:rFonts w:ascii="Calibri" w:hAnsi="Calibri"/>
          <w:b/>
          <w:color w:val="2E74B5"/>
        </w:rPr>
        <w:t xml:space="preserve">Browser constraint  </w:t>
      </w:r>
      <w:r>
        <w:t>Background Sync is not uniformly available, especially on iOS. The foreground SyncEngine is mandatory; service-worker sync is an opportunistic accelerator, never the sole delivery mechanism.</w:t>
      </w:r>
    </w:p>
    <w:p>
      <w:pPr>
        <w:pStyle w:val="Heading1"/>
      </w:pPr>
      <w:r>
        <w:t>Part 7 — Incremental Milestones</w:t>
      </w:r>
    </w:p>
    <w:p>
      <w:pPr>
        <w:pStyle w:val="Heading2"/>
      </w:pPr>
      <w:r>
        <w:t>M0 Baseline and architecture guardrails</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trPr>
        <w:tc>
          <w:tcPr>
            <w:tcW w:type="dxa" w:w="1700"/>
            <w:vAlign w:val="top"/>
            <w:tcMar>
              <w:top w:w="80" w:type="dxa"/>
              <w:bottom w:w="80" w:type="dxa"/>
              <w:start w:w="120" w:type="dxa"/>
              <w:end w:w="120" w:type="dxa"/>
            </w:tcMar>
            <w:shd w:fill="F2F4F7"/>
          </w:tcPr>
          <w:p>
            <w:pPr>
              <w:spacing w:after="0"/>
            </w:pPr>
            <w:r>
              <w:rPr>
                <w:rFonts w:ascii="Calibri" w:hAnsi="Calibri"/>
                <w:b/>
                <w:color w:val="18324A"/>
                <w:sz w:val="18"/>
              </w:rPr>
              <w:t>Field</w:t>
            </w:r>
          </w:p>
        </w:tc>
        <w:tc>
          <w:tcPr>
            <w:tcW w:type="dxa" w:w="7660"/>
            <w:vAlign w:val="top"/>
            <w:tcMar>
              <w:top w:w="80" w:type="dxa"/>
              <w:bottom w:w="80" w:type="dxa"/>
              <w:start w:w="120" w:type="dxa"/>
              <w:end w:w="120" w:type="dxa"/>
            </w:tcMar>
            <w:shd w:fill="F2F4F7"/>
          </w:tcPr>
          <w:p>
            <w:pPr>
              <w:spacing w:after="0"/>
            </w:pPr>
            <w:r>
              <w:rPr>
                <w:rFonts w:ascii="Calibri" w:hAnsi="Calibri"/>
                <w:b/>
                <w:color w:val="18324A"/>
                <w:sz w:val="18"/>
              </w:rPr>
              <w:t>Plan</w:t>
            </w:r>
          </w:p>
        </w:tc>
      </w:tr>
      <w:tr>
        <w:tc>
          <w:tcPr>
            <w:tcW w:type="dxa" w:w="1700"/>
          </w:tcPr>
          <w:p>
            <w:pPr>
              <w:spacing w:after="0"/>
            </w:pPr>
            <w:r>
              <w:rPr>
                <w:rFonts w:ascii="Calibri" w:hAnsi="Calibri"/>
                <w:color w:val="1F2937"/>
                <w:sz w:val="17"/>
              </w:rPr>
              <w:t>Goal</w:t>
            </w:r>
          </w:p>
        </w:tc>
        <w:tc>
          <w:tcPr>
            <w:tcW w:type="dxa" w:w="7660"/>
          </w:tcPr>
          <w:p>
            <w:pPr>
              <w:spacing w:after="0"/>
            </w:pPr>
            <w:r>
              <w:rPr>
                <w:rFonts w:ascii="Calibri" w:hAnsi="Calibri"/>
                <w:color w:val="1F2937"/>
                <w:sz w:val="17"/>
              </w:rPr>
              <w:t>Lock tests, contracts, dependency rules, flags, and observability.</w:t>
            </w:r>
          </w:p>
        </w:tc>
      </w:tr>
      <w:tr>
        <w:tc>
          <w:tcPr>
            <w:tcW w:type="dxa" w:w="1700"/>
          </w:tcPr>
          <w:p>
            <w:pPr>
              <w:spacing w:after="0"/>
            </w:pPr>
            <w:r>
              <w:rPr>
                <w:rFonts w:ascii="Calibri" w:hAnsi="Calibri"/>
                <w:color w:val="1F2937"/>
                <w:sz w:val="17"/>
              </w:rPr>
              <w:t>Files modified</w:t>
            </w:r>
          </w:p>
        </w:tc>
        <w:tc>
          <w:tcPr>
            <w:tcW w:type="dxa" w:w="7660"/>
          </w:tcPr>
          <w:p>
            <w:pPr>
              <w:spacing w:after="0"/>
            </w:pPr>
            <w:r>
              <w:rPr>
                <w:rFonts w:ascii="Calibri" w:hAnsi="Calibri"/>
                <w:color w:val="1F2937"/>
                <w:sz w:val="17"/>
              </w:rPr>
              <w:t>docs/*; tests/architecture; scripts/check-boundaries.mjs</w:t>
            </w:r>
          </w:p>
        </w:tc>
      </w:tr>
      <w:tr>
        <w:tc>
          <w:tcPr>
            <w:tcW w:type="dxa" w:w="1700"/>
          </w:tcPr>
          <w:p>
            <w:pPr>
              <w:spacing w:after="0"/>
            </w:pPr>
            <w:r>
              <w:rPr>
                <w:rFonts w:ascii="Calibri" w:hAnsi="Calibri"/>
                <w:color w:val="1F2937"/>
                <w:sz w:val="17"/>
              </w:rPr>
              <w:t>Complexity</w:t>
            </w:r>
          </w:p>
        </w:tc>
        <w:tc>
          <w:tcPr>
            <w:tcW w:type="dxa" w:w="7660"/>
          </w:tcPr>
          <w:p>
            <w:pPr>
              <w:spacing w:after="0"/>
            </w:pPr>
            <w:r>
              <w:rPr>
                <w:rFonts w:ascii="Calibri" w:hAnsi="Calibri"/>
                <w:color w:val="1F2937"/>
                <w:sz w:val="17"/>
              </w:rPr>
              <w:t>Low</w:t>
            </w:r>
          </w:p>
        </w:tc>
      </w:tr>
      <w:tr>
        <w:tc>
          <w:tcPr>
            <w:tcW w:type="dxa" w:w="1700"/>
          </w:tcPr>
          <w:p>
            <w:pPr>
              <w:spacing w:after="0"/>
            </w:pPr>
            <w:r>
              <w:rPr>
                <w:rFonts w:ascii="Calibri" w:hAnsi="Calibri"/>
                <w:color w:val="1F2937"/>
                <w:sz w:val="17"/>
              </w:rPr>
              <w:t>Regression risk</w:t>
            </w:r>
          </w:p>
        </w:tc>
        <w:tc>
          <w:tcPr>
            <w:tcW w:type="dxa" w:w="7660"/>
          </w:tcPr>
          <w:p>
            <w:pPr>
              <w:spacing w:after="0"/>
            </w:pPr>
            <w:r>
              <w:rPr>
                <w:rFonts w:ascii="Calibri" w:hAnsi="Calibri"/>
                <w:color w:val="1F2937"/>
                <w:sz w:val="17"/>
              </w:rPr>
              <w:t>Low</w:t>
            </w:r>
          </w:p>
        </w:tc>
      </w:tr>
      <w:tr>
        <w:tc>
          <w:tcPr>
            <w:tcW w:type="dxa" w:w="1700"/>
          </w:tcPr>
          <w:p>
            <w:pPr>
              <w:spacing w:after="0"/>
            </w:pPr>
            <w:r>
              <w:rPr>
                <w:rFonts w:ascii="Calibri" w:hAnsi="Calibri"/>
                <w:color w:val="1F2937"/>
                <w:sz w:val="17"/>
              </w:rPr>
              <w:t>Testing required</w:t>
            </w:r>
          </w:p>
        </w:tc>
        <w:tc>
          <w:tcPr>
            <w:tcW w:type="dxa" w:w="7660"/>
          </w:tcPr>
          <w:p>
            <w:pPr>
              <w:spacing w:after="0"/>
            </w:pPr>
            <w:r>
              <w:rPr>
                <w:rFonts w:ascii="Calibri" w:hAnsi="Calibri"/>
                <w:color w:val="1F2937"/>
                <w:sz w:val="17"/>
              </w:rPr>
              <w:t>Run current Node/Playwright/offline/vendor baselines.</w:t>
            </w:r>
          </w:p>
        </w:tc>
      </w:tr>
      <w:tr>
        <w:tc>
          <w:tcPr>
            <w:tcW w:type="dxa" w:w="1700"/>
          </w:tcPr>
          <w:p>
            <w:pPr>
              <w:spacing w:after="0"/>
            </w:pPr>
            <w:r>
              <w:rPr>
                <w:rFonts w:ascii="Calibri" w:hAnsi="Calibri"/>
                <w:color w:val="1F2937"/>
                <w:sz w:val="17"/>
              </w:rPr>
              <w:t>Rollback</w:t>
            </w:r>
          </w:p>
        </w:tc>
        <w:tc>
          <w:tcPr>
            <w:tcW w:type="dxa" w:w="7660"/>
          </w:tcPr>
          <w:p>
            <w:pPr>
              <w:spacing w:after="0"/>
            </w:pPr>
            <w:r>
              <w:rPr>
                <w:rFonts w:ascii="Calibri" w:hAnsi="Calibri"/>
                <w:color w:val="1F2937"/>
                <w:sz w:val="17"/>
              </w:rPr>
              <w:t>Revert documentation/test-only commit.</w:t>
            </w:r>
          </w:p>
        </w:tc>
      </w:tr>
      <w:tr>
        <w:tc>
          <w:tcPr>
            <w:tcW w:type="dxa" w:w="1700"/>
          </w:tcPr>
          <w:p>
            <w:pPr>
              <w:spacing w:after="0"/>
            </w:pPr>
            <w:r>
              <w:rPr>
                <w:rFonts w:ascii="Calibri" w:hAnsi="Calibri"/>
                <w:color w:val="1F2937"/>
                <w:sz w:val="17"/>
              </w:rPr>
              <w:t>Acceptance criteria</w:t>
            </w:r>
          </w:p>
        </w:tc>
        <w:tc>
          <w:tcPr>
            <w:tcW w:type="dxa" w:w="7660"/>
          </w:tcPr>
          <w:p>
            <w:pPr>
              <w:spacing w:after="0"/>
            </w:pPr>
            <w:r>
              <w:rPr>
                <w:rFonts w:ascii="Calibri" w:hAnsi="Calibri"/>
                <w:color w:val="1F2937"/>
                <w:sz w:val="17"/>
              </w:rPr>
              <w:t>Baseline recorded; forbidden dependencies fail CI.</w:t>
            </w:r>
          </w:p>
        </w:tc>
      </w:tr>
    </w:tbl>
    <w:p>
      <w:pPr>
        <w:spacing w:after="40"/>
      </w:pPr>
    </w:p>
    <w:p>
      <w:pPr>
        <w:pStyle w:val="Heading2"/>
      </w:pPr>
      <w:r>
        <w:t>M1 Core seams</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trPr>
        <w:tc>
          <w:tcPr>
            <w:tcW w:type="dxa" w:w="1700"/>
            <w:vAlign w:val="top"/>
            <w:tcMar>
              <w:top w:w="80" w:type="dxa"/>
              <w:bottom w:w="80" w:type="dxa"/>
              <w:start w:w="120" w:type="dxa"/>
              <w:end w:w="120" w:type="dxa"/>
            </w:tcMar>
            <w:shd w:fill="F2F4F7"/>
          </w:tcPr>
          <w:p>
            <w:pPr>
              <w:spacing w:after="0"/>
            </w:pPr>
            <w:r>
              <w:rPr>
                <w:rFonts w:ascii="Calibri" w:hAnsi="Calibri"/>
                <w:b/>
                <w:color w:val="18324A"/>
                <w:sz w:val="18"/>
              </w:rPr>
              <w:t>Field</w:t>
            </w:r>
          </w:p>
        </w:tc>
        <w:tc>
          <w:tcPr>
            <w:tcW w:type="dxa" w:w="7660"/>
            <w:vAlign w:val="top"/>
            <w:tcMar>
              <w:top w:w="80" w:type="dxa"/>
              <w:bottom w:w="80" w:type="dxa"/>
              <w:start w:w="120" w:type="dxa"/>
              <w:end w:w="120" w:type="dxa"/>
            </w:tcMar>
            <w:shd w:fill="F2F4F7"/>
          </w:tcPr>
          <w:p>
            <w:pPr>
              <w:spacing w:after="0"/>
            </w:pPr>
            <w:r>
              <w:rPr>
                <w:rFonts w:ascii="Calibri" w:hAnsi="Calibri"/>
                <w:b/>
                <w:color w:val="18324A"/>
                <w:sz w:val="18"/>
              </w:rPr>
              <w:t>Plan</w:t>
            </w:r>
          </w:p>
        </w:tc>
      </w:tr>
      <w:tr>
        <w:tc>
          <w:tcPr>
            <w:tcW w:type="dxa" w:w="1700"/>
          </w:tcPr>
          <w:p>
            <w:pPr>
              <w:spacing w:after="0"/>
            </w:pPr>
            <w:r>
              <w:rPr>
                <w:rFonts w:ascii="Calibri" w:hAnsi="Calibri"/>
                <w:color w:val="1F2937"/>
                <w:sz w:val="17"/>
              </w:rPr>
              <w:t>Goal</w:t>
            </w:r>
          </w:p>
        </w:tc>
        <w:tc>
          <w:tcPr>
            <w:tcW w:type="dxa" w:w="7660"/>
          </w:tcPr>
          <w:p>
            <w:pPr>
              <w:spacing w:after="0"/>
            </w:pPr>
            <w:r>
              <w:rPr>
                <w:rFonts w:ascii="Calibri" w:hAnsi="Calibri"/>
                <w:color w:val="1F2937"/>
                <w:sz w:val="17"/>
              </w:rPr>
              <w:t>Extract clock, IDs, geometry, errors, event bus, and state store with compatibility facade.</w:t>
            </w:r>
          </w:p>
        </w:tc>
      </w:tr>
      <w:tr>
        <w:tc>
          <w:tcPr>
            <w:tcW w:type="dxa" w:w="1700"/>
          </w:tcPr>
          <w:p>
            <w:pPr>
              <w:spacing w:after="0"/>
            </w:pPr>
            <w:r>
              <w:rPr>
                <w:rFonts w:ascii="Calibri" w:hAnsi="Calibri"/>
                <w:color w:val="1F2937"/>
                <w:sz w:val="17"/>
              </w:rPr>
              <w:t>Files modified</w:t>
            </w:r>
          </w:p>
        </w:tc>
        <w:tc>
          <w:tcPr>
            <w:tcW w:type="dxa" w:w="7660"/>
          </w:tcPr>
          <w:p>
            <w:pPr>
              <w:spacing w:after="0"/>
            </w:pPr>
            <w:r>
              <w:rPr>
                <w:rFonts w:ascii="Calibri" w:hAnsi="Calibri"/>
                <w:color w:val="1F2937"/>
                <w:sz w:val="17"/>
              </w:rPr>
              <w:t>src/core/*; app.js; unit tests</w:t>
            </w:r>
          </w:p>
        </w:tc>
      </w:tr>
      <w:tr>
        <w:tc>
          <w:tcPr>
            <w:tcW w:type="dxa" w:w="1700"/>
          </w:tcPr>
          <w:p>
            <w:pPr>
              <w:spacing w:after="0"/>
            </w:pPr>
            <w:r>
              <w:rPr>
                <w:rFonts w:ascii="Calibri" w:hAnsi="Calibri"/>
                <w:color w:val="1F2937"/>
                <w:sz w:val="17"/>
              </w:rPr>
              <w:t>Complexity</w:t>
            </w:r>
          </w:p>
        </w:tc>
        <w:tc>
          <w:tcPr>
            <w:tcW w:type="dxa" w:w="7660"/>
          </w:tcPr>
          <w:p>
            <w:pPr>
              <w:spacing w:after="0"/>
            </w:pPr>
            <w:r>
              <w:rPr>
                <w:rFonts w:ascii="Calibri" w:hAnsi="Calibri"/>
                <w:color w:val="1F2937"/>
                <w:sz w:val="17"/>
              </w:rPr>
              <w:t>Medium</w:t>
            </w:r>
          </w:p>
        </w:tc>
      </w:tr>
      <w:tr>
        <w:tc>
          <w:tcPr>
            <w:tcW w:type="dxa" w:w="1700"/>
          </w:tcPr>
          <w:p>
            <w:pPr>
              <w:spacing w:after="0"/>
            </w:pPr>
            <w:r>
              <w:rPr>
                <w:rFonts w:ascii="Calibri" w:hAnsi="Calibri"/>
                <w:color w:val="1F2937"/>
                <w:sz w:val="17"/>
              </w:rPr>
              <w:t>Regression risk</w:t>
            </w:r>
          </w:p>
        </w:tc>
        <w:tc>
          <w:tcPr>
            <w:tcW w:type="dxa" w:w="7660"/>
          </w:tcPr>
          <w:p>
            <w:pPr>
              <w:spacing w:after="0"/>
            </w:pPr>
            <w:r>
              <w:rPr>
                <w:rFonts w:ascii="Calibri" w:hAnsi="Calibri"/>
                <w:color w:val="1F2937"/>
                <w:sz w:val="17"/>
              </w:rPr>
              <w:t>Medium</w:t>
            </w:r>
          </w:p>
        </w:tc>
      </w:tr>
      <w:tr>
        <w:tc>
          <w:tcPr>
            <w:tcW w:type="dxa" w:w="1700"/>
          </w:tcPr>
          <w:p>
            <w:pPr>
              <w:spacing w:after="0"/>
            </w:pPr>
            <w:r>
              <w:rPr>
                <w:rFonts w:ascii="Calibri" w:hAnsi="Calibri"/>
                <w:color w:val="1F2937"/>
                <w:sz w:val="17"/>
              </w:rPr>
              <w:t>Testing required</w:t>
            </w:r>
          </w:p>
        </w:tc>
        <w:tc>
          <w:tcPr>
            <w:tcW w:type="dxa" w:w="7660"/>
          </w:tcPr>
          <w:p>
            <w:pPr>
              <w:spacing w:after="0"/>
            </w:pPr>
            <w:r>
              <w:rPr>
                <w:rFonts w:ascii="Calibri" w:hAnsi="Calibri"/>
                <w:color w:val="1F2937"/>
                <w:sz w:val="17"/>
              </w:rPr>
              <w:t>Golden utility tests; browser matrix.</w:t>
            </w:r>
          </w:p>
        </w:tc>
      </w:tr>
      <w:tr>
        <w:tc>
          <w:tcPr>
            <w:tcW w:type="dxa" w:w="1700"/>
          </w:tcPr>
          <w:p>
            <w:pPr>
              <w:spacing w:after="0"/>
            </w:pPr>
            <w:r>
              <w:rPr>
                <w:rFonts w:ascii="Calibri" w:hAnsi="Calibri"/>
                <w:color w:val="1F2937"/>
                <w:sz w:val="17"/>
              </w:rPr>
              <w:t>Rollback</w:t>
            </w:r>
          </w:p>
        </w:tc>
        <w:tc>
          <w:tcPr>
            <w:tcW w:type="dxa" w:w="7660"/>
          </w:tcPr>
          <w:p>
            <w:pPr>
              <w:spacing w:after="0"/>
            </w:pPr>
            <w:r>
              <w:rPr>
                <w:rFonts w:ascii="Calibri" w:hAnsi="Calibri"/>
                <w:color w:val="1F2937"/>
                <w:sz w:val="17"/>
              </w:rPr>
              <w:t>Restore app.js imports through facade.</w:t>
            </w:r>
          </w:p>
        </w:tc>
      </w:tr>
      <w:tr>
        <w:tc>
          <w:tcPr>
            <w:tcW w:type="dxa" w:w="1700"/>
          </w:tcPr>
          <w:p>
            <w:pPr>
              <w:spacing w:after="0"/>
            </w:pPr>
            <w:r>
              <w:rPr>
                <w:rFonts w:ascii="Calibri" w:hAnsi="Calibri"/>
                <w:color w:val="1F2937"/>
                <w:sz w:val="17"/>
              </w:rPr>
              <w:t>Acceptance criteria</w:t>
            </w:r>
          </w:p>
        </w:tc>
        <w:tc>
          <w:tcPr>
            <w:tcW w:type="dxa" w:w="7660"/>
          </w:tcPr>
          <w:p>
            <w:pPr>
              <w:spacing w:after="0"/>
            </w:pPr>
            <w:r>
              <w:rPr>
                <w:rFonts w:ascii="Calibri" w:hAnsi="Calibri"/>
                <w:color w:val="1F2937"/>
                <w:sz w:val="17"/>
              </w:rPr>
              <w:t>No behavior/diff change; no cycles.</w:t>
            </w:r>
          </w:p>
        </w:tc>
      </w:tr>
    </w:tbl>
    <w:p>
      <w:pPr>
        <w:spacing w:after="40"/>
      </w:pPr>
    </w:p>
    <w:p>
      <w:pPr>
        <w:pStyle w:val="Heading2"/>
      </w:pPr>
      <w:r>
        <w:t>M2 IndexedDB v2 foundation</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trPr>
        <w:tc>
          <w:tcPr>
            <w:tcW w:type="dxa" w:w="1700"/>
            <w:vAlign w:val="top"/>
            <w:tcMar>
              <w:top w:w="80" w:type="dxa"/>
              <w:bottom w:w="80" w:type="dxa"/>
              <w:start w:w="120" w:type="dxa"/>
              <w:end w:w="120" w:type="dxa"/>
            </w:tcMar>
            <w:shd w:fill="F2F4F7"/>
          </w:tcPr>
          <w:p>
            <w:pPr>
              <w:spacing w:after="0"/>
            </w:pPr>
            <w:r>
              <w:rPr>
                <w:rFonts w:ascii="Calibri" w:hAnsi="Calibri"/>
                <w:b/>
                <w:color w:val="18324A"/>
                <w:sz w:val="18"/>
              </w:rPr>
              <w:t>Field</w:t>
            </w:r>
          </w:p>
        </w:tc>
        <w:tc>
          <w:tcPr>
            <w:tcW w:type="dxa" w:w="7660"/>
            <w:vAlign w:val="top"/>
            <w:tcMar>
              <w:top w:w="80" w:type="dxa"/>
              <w:bottom w:w="80" w:type="dxa"/>
              <w:start w:w="120" w:type="dxa"/>
              <w:end w:w="120" w:type="dxa"/>
            </w:tcMar>
            <w:shd w:fill="F2F4F7"/>
          </w:tcPr>
          <w:p>
            <w:pPr>
              <w:spacing w:after="0"/>
            </w:pPr>
            <w:r>
              <w:rPr>
                <w:rFonts w:ascii="Calibri" w:hAnsi="Calibri"/>
                <w:b/>
                <w:color w:val="18324A"/>
                <w:sz w:val="18"/>
              </w:rPr>
              <w:t>Plan</w:t>
            </w:r>
          </w:p>
        </w:tc>
      </w:tr>
      <w:tr>
        <w:tc>
          <w:tcPr>
            <w:tcW w:type="dxa" w:w="1700"/>
          </w:tcPr>
          <w:p>
            <w:pPr>
              <w:spacing w:after="0"/>
            </w:pPr>
            <w:r>
              <w:rPr>
                <w:rFonts w:ascii="Calibri" w:hAnsi="Calibri"/>
                <w:color w:val="1F2937"/>
                <w:sz w:val="17"/>
              </w:rPr>
              <w:t>Goal</w:t>
            </w:r>
          </w:p>
        </w:tc>
        <w:tc>
          <w:tcPr>
            <w:tcW w:type="dxa" w:w="7660"/>
          </w:tcPr>
          <w:p>
            <w:pPr>
              <w:spacing w:after="0"/>
            </w:pPr>
            <w:r>
              <w:rPr>
                <w:rFonts w:ascii="Calibri" w:hAnsi="Calibri"/>
                <w:color w:val="1F2937"/>
                <w:sz w:val="17"/>
              </w:rPr>
              <w:t>Add schema registry, repositories, outbox, migration checkpoints.</w:t>
            </w:r>
          </w:p>
        </w:tc>
      </w:tr>
      <w:tr>
        <w:tc>
          <w:tcPr>
            <w:tcW w:type="dxa" w:w="1700"/>
          </w:tcPr>
          <w:p>
            <w:pPr>
              <w:spacing w:after="0"/>
            </w:pPr>
            <w:r>
              <w:rPr>
                <w:rFonts w:ascii="Calibri" w:hAnsi="Calibri"/>
                <w:color w:val="1F2937"/>
                <w:sz w:val="17"/>
              </w:rPr>
              <w:t>Files modified</w:t>
            </w:r>
          </w:p>
        </w:tc>
        <w:tc>
          <w:tcPr>
            <w:tcW w:type="dxa" w:w="7660"/>
          </w:tcPr>
          <w:p>
            <w:pPr>
              <w:spacing w:after="0"/>
            </w:pPr>
            <w:r>
              <w:rPr>
                <w:rFonts w:ascii="Calibri" w:hAnsi="Calibri"/>
                <w:color w:val="1F2937"/>
                <w:sz w:val="17"/>
              </w:rPr>
              <w:t>src/infrastructure/indexeddb/*; tests/integration</w:t>
            </w:r>
          </w:p>
        </w:tc>
      </w:tr>
      <w:tr>
        <w:tc>
          <w:tcPr>
            <w:tcW w:type="dxa" w:w="1700"/>
          </w:tcPr>
          <w:p>
            <w:pPr>
              <w:spacing w:after="0"/>
            </w:pPr>
            <w:r>
              <w:rPr>
                <w:rFonts w:ascii="Calibri" w:hAnsi="Calibri"/>
                <w:color w:val="1F2937"/>
                <w:sz w:val="17"/>
              </w:rPr>
              <w:t>Complexity</w:t>
            </w:r>
          </w:p>
        </w:tc>
        <w:tc>
          <w:tcPr>
            <w:tcW w:type="dxa" w:w="7660"/>
          </w:tcPr>
          <w:p>
            <w:pPr>
              <w:spacing w:after="0"/>
            </w:pPr>
            <w:r>
              <w:rPr>
                <w:rFonts w:ascii="Calibri" w:hAnsi="Calibri"/>
                <w:color w:val="1F2937"/>
                <w:sz w:val="17"/>
              </w:rPr>
              <w:t>High</w:t>
            </w:r>
          </w:p>
        </w:tc>
      </w:tr>
      <w:tr>
        <w:tc>
          <w:tcPr>
            <w:tcW w:type="dxa" w:w="1700"/>
          </w:tcPr>
          <w:p>
            <w:pPr>
              <w:spacing w:after="0"/>
            </w:pPr>
            <w:r>
              <w:rPr>
                <w:rFonts w:ascii="Calibri" w:hAnsi="Calibri"/>
                <w:color w:val="1F2937"/>
                <w:sz w:val="17"/>
              </w:rPr>
              <w:t>Regression risk</w:t>
            </w:r>
          </w:p>
        </w:tc>
        <w:tc>
          <w:tcPr>
            <w:tcW w:type="dxa" w:w="7660"/>
          </w:tcPr>
          <w:p>
            <w:pPr>
              <w:spacing w:after="0"/>
            </w:pPr>
            <w:r>
              <w:rPr>
                <w:rFonts w:ascii="Calibri" w:hAnsi="Calibri"/>
                <w:color w:val="1F2937"/>
                <w:sz w:val="17"/>
              </w:rPr>
              <w:t>High</w:t>
            </w:r>
          </w:p>
        </w:tc>
      </w:tr>
      <w:tr>
        <w:tc>
          <w:tcPr>
            <w:tcW w:type="dxa" w:w="1700"/>
          </w:tcPr>
          <w:p>
            <w:pPr>
              <w:spacing w:after="0"/>
            </w:pPr>
            <w:r>
              <w:rPr>
                <w:rFonts w:ascii="Calibri" w:hAnsi="Calibri"/>
                <w:color w:val="1F2937"/>
                <w:sz w:val="17"/>
              </w:rPr>
              <w:t>Testing required</w:t>
            </w:r>
          </w:p>
        </w:tc>
        <w:tc>
          <w:tcPr>
            <w:tcW w:type="dxa" w:w="7660"/>
          </w:tcPr>
          <w:p>
            <w:pPr>
              <w:spacing w:after="0"/>
            </w:pPr>
            <w:r>
              <w:rPr>
                <w:rFonts w:ascii="Calibri" w:hAnsi="Calibri"/>
                <w:color w:val="1F2937"/>
                <w:sz w:val="17"/>
              </w:rPr>
              <w:t>Upgrade/rollback/crash/offline fixtures.</w:t>
            </w:r>
          </w:p>
        </w:tc>
      </w:tr>
      <w:tr>
        <w:tc>
          <w:tcPr>
            <w:tcW w:type="dxa" w:w="1700"/>
          </w:tcPr>
          <w:p>
            <w:pPr>
              <w:spacing w:after="0"/>
            </w:pPr>
            <w:r>
              <w:rPr>
                <w:rFonts w:ascii="Calibri" w:hAnsi="Calibri"/>
                <w:color w:val="1F2937"/>
                <w:sz w:val="17"/>
              </w:rPr>
              <w:t>Rollback</w:t>
            </w:r>
          </w:p>
        </w:tc>
        <w:tc>
          <w:tcPr>
            <w:tcW w:type="dxa" w:w="7660"/>
          </w:tcPr>
          <w:p>
            <w:pPr>
              <w:spacing w:after="0"/>
            </w:pPr>
            <w:r>
              <w:rPr>
                <w:rFonts w:ascii="Calibri" w:hAnsi="Calibri"/>
                <w:color w:val="1F2937"/>
                <w:sz w:val="17"/>
              </w:rPr>
              <w:t>Disable v2 flag; legacy project store remains authoritative.</w:t>
            </w:r>
          </w:p>
        </w:tc>
      </w:tr>
      <w:tr>
        <w:tc>
          <w:tcPr>
            <w:tcW w:type="dxa" w:w="1700"/>
          </w:tcPr>
          <w:p>
            <w:pPr>
              <w:spacing w:after="0"/>
            </w:pPr>
            <w:r>
              <w:rPr>
                <w:rFonts w:ascii="Calibri" w:hAnsi="Calibri"/>
                <w:color w:val="1F2937"/>
                <w:sz w:val="17"/>
              </w:rPr>
              <w:t>Acceptance criteria</w:t>
            </w:r>
          </w:p>
        </w:tc>
        <w:tc>
          <w:tcPr>
            <w:tcW w:type="dxa" w:w="7660"/>
          </w:tcPr>
          <w:p>
            <w:pPr>
              <w:spacing w:after="0"/>
            </w:pPr>
            <w:r>
              <w:rPr>
                <w:rFonts w:ascii="Calibri" w:hAnsi="Calibri"/>
                <w:color w:val="1F2937"/>
                <w:sz w:val="17"/>
              </w:rPr>
              <w:t>Interrupted migration resumes; no data loss.</w:t>
            </w:r>
          </w:p>
        </w:tc>
      </w:tr>
    </w:tbl>
    <w:p>
      <w:pPr>
        <w:spacing w:after="40"/>
      </w:pPr>
    </w:p>
    <w:p>
      <w:pPr>
        <w:pStyle w:val="Heading2"/>
      </w:pPr>
      <w:r>
        <w:t>M3 Map engine extraction</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trPr>
        <w:tc>
          <w:tcPr>
            <w:tcW w:type="dxa" w:w="1700"/>
            <w:vAlign w:val="top"/>
            <w:tcMar>
              <w:top w:w="80" w:type="dxa"/>
              <w:bottom w:w="80" w:type="dxa"/>
              <w:start w:w="120" w:type="dxa"/>
              <w:end w:w="120" w:type="dxa"/>
            </w:tcMar>
            <w:shd w:fill="F2F4F7"/>
          </w:tcPr>
          <w:p>
            <w:pPr>
              <w:spacing w:after="0"/>
            </w:pPr>
            <w:r>
              <w:rPr>
                <w:rFonts w:ascii="Calibri" w:hAnsi="Calibri"/>
                <w:b/>
                <w:color w:val="18324A"/>
                <w:sz w:val="18"/>
              </w:rPr>
              <w:t>Field</w:t>
            </w:r>
          </w:p>
        </w:tc>
        <w:tc>
          <w:tcPr>
            <w:tcW w:type="dxa" w:w="7660"/>
            <w:vAlign w:val="top"/>
            <w:tcMar>
              <w:top w:w="80" w:type="dxa"/>
              <w:bottom w:w="80" w:type="dxa"/>
              <w:start w:w="120" w:type="dxa"/>
              <w:end w:w="120" w:type="dxa"/>
            </w:tcMar>
            <w:shd w:fill="F2F4F7"/>
          </w:tcPr>
          <w:p>
            <w:pPr>
              <w:spacing w:after="0"/>
            </w:pPr>
            <w:r>
              <w:rPr>
                <w:rFonts w:ascii="Calibri" w:hAnsi="Calibri"/>
                <w:b/>
                <w:color w:val="18324A"/>
                <w:sz w:val="18"/>
              </w:rPr>
              <w:t>Plan</w:t>
            </w:r>
          </w:p>
        </w:tc>
      </w:tr>
      <w:tr>
        <w:tc>
          <w:tcPr>
            <w:tcW w:type="dxa" w:w="1700"/>
          </w:tcPr>
          <w:p>
            <w:pPr>
              <w:spacing w:after="0"/>
            </w:pPr>
            <w:r>
              <w:rPr>
                <w:rFonts w:ascii="Calibri" w:hAnsi="Calibri"/>
                <w:color w:val="1F2937"/>
                <w:sz w:val="17"/>
              </w:rPr>
              <w:t>Goal</w:t>
            </w:r>
          </w:p>
        </w:tc>
        <w:tc>
          <w:tcPr>
            <w:tcW w:type="dxa" w:w="7660"/>
          </w:tcPr>
          <w:p>
            <w:pPr>
              <w:spacing w:after="0"/>
            </w:pPr>
            <w:r>
              <w:rPr>
                <w:rFonts w:ascii="Calibri" w:hAnsi="Calibri"/>
                <w:color w:val="1F2937"/>
                <w:sz w:val="17"/>
              </w:rPr>
              <w:t>Move Leaflet ownership and incremental layer registry.</w:t>
            </w:r>
          </w:p>
        </w:tc>
      </w:tr>
      <w:tr>
        <w:tc>
          <w:tcPr>
            <w:tcW w:type="dxa" w:w="1700"/>
          </w:tcPr>
          <w:p>
            <w:pPr>
              <w:spacing w:after="0"/>
            </w:pPr>
            <w:r>
              <w:rPr>
                <w:rFonts w:ascii="Calibri" w:hAnsi="Calibri"/>
                <w:color w:val="1F2937"/>
                <w:sz w:val="17"/>
              </w:rPr>
              <w:t>Files modified</w:t>
            </w:r>
          </w:p>
        </w:tc>
        <w:tc>
          <w:tcPr>
            <w:tcW w:type="dxa" w:w="7660"/>
          </w:tcPr>
          <w:p>
            <w:pPr>
              <w:spacing w:after="0"/>
            </w:pPr>
            <w:r>
              <w:rPr>
                <w:rFonts w:ascii="Calibri" w:hAnsi="Calibri"/>
                <w:color w:val="1F2937"/>
                <w:sz w:val="17"/>
              </w:rPr>
              <w:t>src/ui/map/*; app.js</w:t>
            </w:r>
          </w:p>
        </w:tc>
      </w:tr>
      <w:tr>
        <w:tc>
          <w:tcPr>
            <w:tcW w:type="dxa" w:w="1700"/>
          </w:tcPr>
          <w:p>
            <w:pPr>
              <w:spacing w:after="0"/>
            </w:pPr>
            <w:r>
              <w:rPr>
                <w:rFonts w:ascii="Calibri" w:hAnsi="Calibri"/>
                <w:color w:val="1F2937"/>
                <w:sz w:val="17"/>
              </w:rPr>
              <w:t>Complexity</w:t>
            </w:r>
          </w:p>
        </w:tc>
        <w:tc>
          <w:tcPr>
            <w:tcW w:type="dxa" w:w="7660"/>
          </w:tcPr>
          <w:p>
            <w:pPr>
              <w:spacing w:after="0"/>
            </w:pPr>
            <w:r>
              <w:rPr>
                <w:rFonts w:ascii="Calibri" w:hAnsi="Calibri"/>
                <w:color w:val="1F2937"/>
                <w:sz w:val="17"/>
              </w:rPr>
              <w:t>Medium</w:t>
            </w:r>
          </w:p>
        </w:tc>
      </w:tr>
      <w:tr>
        <w:tc>
          <w:tcPr>
            <w:tcW w:type="dxa" w:w="1700"/>
          </w:tcPr>
          <w:p>
            <w:pPr>
              <w:spacing w:after="0"/>
            </w:pPr>
            <w:r>
              <w:rPr>
                <w:rFonts w:ascii="Calibri" w:hAnsi="Calibri"/>
                <w:color w:val="1F2937"/>
                <w:sz w:val="17"/>
              </w:rPr>
              <w:t>Regression risk</w:t>
            </w:r>
          </w:p>
        </w:tc>
        <w:tc>
          <w:tcPr>
            <w:tcW w:type="dxa" w:w="7660"/>
          </w:tcPr>
          <w:p>
            <w:pPr>
              <w:spacing w:after="0"/>
            </w:pPr>
            <w:r>
              <w:rPr>
                <w:rFonts w:ascii="Calibri" w:hAnsi="Calibri"/>
                <w:color w:val="1F2937"/>
                <w:sz w:val="17"/>
              </w:rPr>
              <w:t>Medium</w:t>
            </w:r>
          </w:p>
        </w:tc>
      </w:tr>
      <w:tr>
        <w:tc>
          <w:tcPr>
            <w:tcW w:type="dxa" w:w="1700"/>
          </w:tcPr>
          <w:p>
            <w:pPr>
              <w:spacing w:after="0"/>
            </w:pPr>
            <w:r>
              <w:rPr>
                <w:rFonts w:ascii="Calibri" w:hAnsi="Calibri"/>
                <w:color w:val="1F2937"/>
                <w:sz w:val="17"/>
              </w:rPr>
              <w:t>Testing required</w:t>
            </w:r>
          </w:p>
        </w:tc>
        <w:tc>
          <w:tcPr>
            <w:tcW w:type="dxa" w:w="7660"/>
          </w:tcPr>
          <w:p>
            <w:pPr>
              <w:spacing w:after="0"/>
            </w:pPr>
            <w:r>
              <w:rPr>
                <w:rFonts w:ascii="Calibri" w:hAnsi="Calibri"/>
                <w:color w:val="1F2937"/>
                <w:sz w:val="17"/>
              </w:rPr>
              <w:t>Layer counts, screenshots, 100/500 rider perf.</w:t>
            </w:r>
          </w:p>
        </w:tc>
      </w:tr>
      <w:tr>
        <w:tc>
          <w:tcPr>
            <w:tcW w:type="dxa" w:w="1700"/>
          </w:tcPr>
          <w:p>
            <w:pPr>
              <w:spacing w:after="0"/>
            </w:pPr>
            <w:r>
              <w:rPr>
                <w:rFonts w:ascii="Calibri" w:hAnsi="Calibri"/>
                <w:color w:val="1F2937"/>
                <w:sz w:val="17"/>
              </w:rPr>
              <w:t>Rollback</w:t>
            </w:r>
          </w:p>
        </w:tc>
        <w:tc>
          <w:tcPr>
            <w:tcW w:type="dxa" w:w="7660"/>
          </w:tcPr>
          <w:p>
            <w:pPr>
              <w:spacing w:after="0"/>
            </w:pPr>
            <w:r>
              <w:rPr>
                <w:rFonts w:ascii="Calibri" w:hAnsi="Calibri"/>
                <w:color w:val="1F2937"/>
                <w:sz w:val="17"/>
              </w:rPr>
              <w:t>Repoint facade to legacy functions.</w:t>
            </w:r>
          </w:p>
        </w:tc>
      </w:tr>
      <w:tr>
        <w:tc>
          <w:tcPr>
            <w:tcW w:type="dxa" w:w="1700"/>
          </w:tcPr>
          <w:p>
            <w:pPr>
              <w:spacing w:after="0"/>
            </w:pPr>
            <w:r>
              <w:rPr>
                <w:rFonts w:ascii="Calibri" w:hAnsi="Calibri"/>
                <w:color w:val="1F2937"/>
                <w:sz w:val="17"/>
              </w:rPr>
              <w:t>Acceptance criteria</w:t>
            </w:r>
          </w:p>
        </w:tc>
        <w:tc>
          <w:tcPr>
            <w:tcW w:type="dxa" w:w="7660"/>
          </w:tcPr>
          <w:p>
            <w:pPr>
              <w:spacing w:after="0"/>
            </w:pPr>
            <w:r>
              <w:rPr>
                <w:rFonts w:ascii="Calibri" w:hAnsi="Calibri"/>
                <w:color w:val="1F2937"/>
                <w:sz w:val="17"/>
              </w:rPr>
              <w:t>Existing UI and overlays remain equivalent.</w:t>
            </w:r>
          </w:p>
        </w:tc>
      </w:tr>
    </w:tbl>
    <w:p>
      <w:pPr>
        <w:spacing w:after="40"/>
      </w:pPr>
    </w:p>
    <w:p>
      <w:pPr>
        <w:pStyle w:val="Heading2"/>
      </w:pPr>
      <w:r>
        <w:t>M4 Project and Rally extraction</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trPr>
        <w:tc>
          <w:tcPr>
            <w:tcW w:type="dxa" w:w="1700"/>
            <w:vAlign w:val="top"/>
            <w:tcMar>
              <w:top w:w="80" w:type="dxa"/>
              <w:bottom w:w="80" w:type="dxa"/>
              <w:start w:w="120" w:type="dxa"/>
              <w:end w:w="120" w:type="dxa"/>
            </w:tcMar>
            <w:shd w:fill="F2F4F7"/>
          </w:tcPr>
          <w:p>
            <w:pPr>
              <w:spacing w:after="0"/>
            </w:pPr>
            <w:r>
              <w:rPr>
                <w:rFonts w:ascii="Calibri" w:hAnsi="Calibri"/>
                <w:b/>
                <w:color w:val="18324A"/>
                <w:sz w:val="18"/>
              </w:rPr>
              <w:t>Field</w:t>
            </w:r>
          </w:p>
        </w:tc>
        <w:tc>
          <w:tcPr>
            <w:tcW w:type="dxa" w:w="7660"/>
            <w:vAlign w:val="top"/>
            <w:tcMar>
              <w:top w:w="80" w:type="dxa"/>
              <w:bottom w:w="80" w:type="dxa"/>
              <w:start w:w="120" w:type="dxa"/>
              <w:end w:w="120" w:type="dxa"/>
            </w:tcMar>
            <w:shd w:fill="F2F4F7"/>
          </w:tcPr>
          <w:p>
            <w:pPr>
              <w:spacing w:after="0"/>
            </w:pPr>
            <w:r>
              <w:rPr>
                <w:rFonts w:ascii="Calibri" w:hAnsi="Calibri"/>
                <w:b/>
                <w:color w:val="18324A"/>
                <w:sz w:val="18"/>
              </w:rPr>
              <w:t>Plan</w:t>
            </w:r>
          </w:p>
        </w:tc>
      </w:tr>
      <w:tr>
        <w:tc>
          <w:tcPr>
            <w:tcW w:type="dxa" w:w="1700"/>
          </w:tcPr>
          <w:p>
            <w:pPr>
              <w:spacing w:after="0"/>
            </w:pPr>
            <w:r>
              <w:rPr>
                <w:rFonts w:ascii="Calibri" w:hAnsi="Calibri"/>
                <w:color w:val="1F2937"/>
                <w:sz w:val="17"/>
              </w:rPr>
              <w:t>Goal</w:t>
            </w:r>
          </w:p>
        </w:tc>
        <w:tc>
          <w:tcPr>
            <w:tcW w:type="dxa" w:w="7660"/>
          </w:tcPr>
          <w:p>
            <w:pPr>
              <w:spacing w:after="0"/>
            </w:pPr>
            <w:r>
              <w:rPr>
                <w:rFonts w:ascii="Calibri" w:hAnsi="Calibri"/>
                <w:color w:val="1F2937"/>
                <w:sz w:val="17"/>
              </w:rPr>
              <w:t>Move imports/exports, checkpoint workflow, presenters, and DOM controllers.</w:t>
            </w:r>
          </w:p>
        </w:tc>
      </w:tr>
      <w:tr>
        <w:tc>
          <w:tcPr>
            <w:tcW w:type="dxa" w:w="1700"/>
          </w:tcPr>
          <w:p>
            <w:pPr>
              <w:spacing w:after="0"/>
            </w:pPr>
            <w:r>
              <w:rPr>
                <w:rFonts w:ascii="Calibri" w:hAnsi="Calibri"/>
                <w:color w:val="1F2937"/>
                <w:sz w:val="17"/>
              </w:rPr>
              <w:t>Files modified</w:t>
            </w:r>
          </w:p>
        </w:tc>
        <w:tc>
          <w:tcPr>
            <w:tcW w:type="dxa" w:w="7660"/>
          </w:tcPr>
          <w:p>
            <w:pPr>
              <w:spacing w:after="0"/>
            </w:pPr>
            <w:r>
              <w:rPr>
                <w:rFonts w:ascii="Calibri" w:hAnsi="Calibri"/>
                <w:color w:val="1F2937"/>
                <w:sz w:val="17"/>
              </w:rPr>
              <w:t>src/application/*; src/domain/checkpoints/*; src/ui/rally/*</w:t>
            </w:r>
          </w:p>
        </w:tc>
      </w:tr>
      <w:tr>
        <w:tc>
          <w:tcPr>
            <w:tcW w:type="dxa" w:w="1700"/>
          </w:tcPr>
          <w:p>
            <w:pPr>
              <w:spacing w:after="0"/>
            </w:pPr>
            <w:r>
              <w:rPr>
                <w:rFonts w:ascii="Calibri" w:hAnsi="Calibri"/>
                <w:color w:val="1F2937"/>
                <w:sz w:val="17"/>
              </w:rPr>
              <w:t>Complexity</w:t>
            </w:r>
          </w:p>
        </w:tc>
        <w:tc>
          <w:tcPr>
            <w:tcW w:type="dxa" w:w="7660"/>
          </w:tcPr>
          <w:p>
            <w:pPr>
              <w:spacing w:after="0"/>
            </w:pPr>
            <w:r>
              <w:rPr>
                <w:rFonts w:ascii="Calibri" w:hAnsi="Calibri"/>
                <w:color w:val="1F2937"/>
                <w:sz w:val="17"/>
              </w:rPr>
              <w:t>High</w:t>
            </w:r>
          </w:p>
        </w:tc>
      </w:tr>
      <w:tr>
        <w:tc>
          <w:tcPr>
            <w:tcW w:type="dxa" w:w="1700"/>
          </w:tcPr>
          <w:p>
            <w:pPr>
              <w:spacing w:after="0"/>
            </w:pPr>
            <w:r>
              <w:rPr>
                <w:rFonts w:ascii="Calibri" w:hAnsi="Calibri"/>
                <w:color w:val="1F2937"/>
                <w:sz w:val="17"/>
              </w:rPr>
              <w:t>Regression risk</w:t>
            </w:r>
          </w:p>
        </w:tc>
        <w:tc>
          <w:tcPr>
            <w:tcW w:type="dxa" w:w="7660"/>
          </w:tcPr>
          <w:p>
            <w:pPr>
              <w:spacing w:after="0"/>
            </w:pPr>
            <w:r>
              <w:rPr>
                <w:rFonts w:ascii="Calibri" w:hAnsi="Calibri"/>
                <w:color w:val="1F2937"/>
                <w:sz w:val="17"/>
              </w:rPr>
              <w:t>High</w:t>
            </w:r>
          </w:p>
        </w:tc>
      </w:tr>
      <w:tr>
        <w:tc>
          <w:tcPr>
            <w:tcW w:type="dxa" w:w="1700"/>
          </w:tcPr>
          <w:p>
            <w:pPr>
              <w:spacing w:after="0"/>
            </w:pPr>
            <w:r>
              <w:rPr>
                <w:rFonts w:ascii="Calibri" w:hAnsi="Calibri"/>
                <w:color w:val="1F2937"/>
                <w:sz w:val="17"/>
              </w:rPr>
              <w:t>Testing required</w:t>
            </w:r>
          </w:p>
        </w:tc>
        <w:tc>
          <w:tcPr>
            <w:tcW w:type="dxa" w:w="7660"/>
          </w:tcPr>
          <w:p>
            <w:pPr>
              <w:spacing w:after="0"/>
            </w:pPr>
            <w:r>
              <w:rPr>
                <w:rFonts w:ascii="Calibri" w:hAnsi="Calibri"/>
                <w:color w:val="1F2937"/>
                <w:sz w:val="17"/>
              </w:rPr>
              <w:t>GPX/project golden tests; complete Rally matrix.</w:t>
            </w:r>
          </w:p>
        </w:tc>
      </w:tr>
      <w:tr>
        <w:tc>
          <w:tcPr>
            <w:tcW w:type="dxa" w:w="1700"/>
          </w:tcPr>
          <w:p>
            <w:pPr>
              <w:spacing w:after="0"/>
            </w:pPr>
            <w:r>
              <w:rPr>
                <w:rFonts w:ascii="Calibri" w:hAnsi="Calibri"/>
                <w:color w:val="1F2937"/>
                <w:sz w:val="17"/>
              </w:rPr>
              <w:t>Rollback</w:t>
            </w:r>
          </w:p>
        </w:tc>
        <w:tc>
          <w:tcPr>
            <w:tcW w:type="dxa" w:w="7660"/>
          </w:tcPr>
          <w:p>
            <w:pPr>
              <w:spacing w:after="0"/>
            </w:pPr>
            <w:r>
              <w:rPr>
                <w:rFonts w:ascii="Calibri" w:hAnsi="Calibri"/>
                <w:color w:val="1F2937"/>
                <w:sz w:val="17"/>
              </w:rPr>
              <w:t>One module extraction reverted per commit.</w:t>
            </w:r>
          </w:p>
        </w:tc>
      </w:tr>
      <w:tr>
        <w:tc>
          <w:tcPr>
            <w:tcW w:type="dxa" w:w="1700"/>
          </w:tcPr>
          <w:p>
            <w:pPr>
              <w:spacing w:after="0"/>
            </w:pPr>
            <w:r>
              <w:rPr>
                <w:rFonts w:ascii="Calibri" w:hAnsi="Calibri"/>
                <w:color w:val="1F2937"/>
                <w:sz w:val="17"/>
              </w:rPr>
              <w:t>Acceptance criteria</w:t>
            </w:r>
          </w:p>
        </w:tc>
        <w:tc>
          <w:tcPr>
            <w:tcW w:type="dxa" w:w="7660"/>
          </w:tcPr>
          <w:p>
            <w:pPr>
              <w:spacing w:after="0"/>
            </w:pPr>
            <w:r>
              <w:rPr>
                <w:rFonts w:ascii="Calibri" w:hAnsi="Calibri"/>
                <w:color w:val="1F2937"/>
                <w:sz w:val="17"/>
              </w:rPr>
              <w:t>app.js becomes wiring; behavior unchanged.</w:t>
            </w:r>
          </w:p>
        </w:tc>
      </w:tr>
    </w:tbl>
    <w:p>
      <w:pPr>
        <w:spacing w:after="40"/>
      </w:pPr>
    </w:p>
    <w:p>
      <w:pPr>
        <w:pStyle w:val="Heading2"/>
      </w:pPr>
      <w:r>
        <w:t>M5 Observation capture</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trPr>
        <w:tc>
          <w:tcPr>
            <w:tcW w:type="dxa" w:w="1700"/>
            <w:vAlign w:val="top"/>
            <w:tcMar>
              <w:top w:w="80" w:type="dxa"/>
              <w:bottom w:w="80" w:type="dxa"/>
              <w:start w:w="120" w:type="dxa"/>
              <w:end w:w="120" w:type="dxa"/>
            </w:tcMar>
            <w:shd w:fill="F2F4F7"/>
          </w:tcPr>
          <w:p>
            <w:pPr>
              <w:spacing w:after="0"/>
            </w:pPr>
            <w:r>
              <w:rPr>
                <w:rFonts w:ascii="Calibri" w:hAnsi="Calibri"/>
                <w:b/>
                <w:color w:val="18324A"/>
                <w:sz w:val="18"/>
              </w:rPr>
              <w:t>Field</w:t>
            </w:r>
          </w:p>
        </w:tc>
        <w:tc>
          <w:tcPr>
            <w:tcW w:type="dxa" w:w="7660"/>
            <w:vAlign w:val="top"/>
            <w:tcMar>
              <w:top w:w="80" w:type="dxa"/>
              <w:bottom w:w="80" w:type="dxa"/>
              <w:start w:w="120" w:type="dxa"/>
              <w:end w:w="120" w:type="dxa"/>
            </w:tcMar>
            <w:shd w:fill="F2F4F7"/>
          </w:tcPr>
          <w:p>
            <w:pPr>
              <w:spacing w:after="0"/>
            </w:pPr>
            <w:r>
              <w:rPr>
                <w:rFonts w:ascii="Calibri" w:hAnsi="Calibri"/>
                <w:b/>
                <w:color w:val="18324A"/>
                <w:sz w:val="18"/>
              </w:rPr>
              <w:t>Plan</w:t>
            </w:r>
          </w:p>
        </w:tc>
      </w:tr>
      <w:tr>
        <w:tc>
          <w:tcPr>
            <w:tcW w:type="dxa" w:w="1700"/>
          </w:tcPr>
          <w:p>
            <w:pPr>
              <w:spacing w:after="0"/>
            </w:pPr>
            <w:r>
              <w:rPr>
                <w:rFonts w:ascii="Calibri" w:hAnsi="Calibri"/>
                <w:color w:val="1F2937"/>
                <w:sz w:val="17"/>
              </w:rPr>
              <w:t>Goal</w:t>
            </w:r>
          </w:p>
        </w:tc>
        <w:tc>
          <w:tcPr>
            <w:tcW w:type="dxa" w:w="7660"/>
          </w:tcPr>
          <w:p>
            <w:pPr>
              <w:spacing w:after="0"/>
            </w:pPr>
            <w:r>
              <w:rPr>
                <w:rFonts w:ascii="Calibri" w:hAnsi="Calibri"/>
                <w:color w:val="1F2937"/>
                <w:sz w:val="17"/>
              </w:rPr>
              <w:t>Append-only capture, local quality vector inputs, durable queue.</w:t>
            </w:r>
          </w:p>
        </w:tc>
      </w:tr>
      <w:tr>
        <w:tc>
          <w:tcPr>
            <w:tcW w:type="dxa" w:w="1700"/>
          </w:tcPr>
          <w:p>
            <w:pPr>
              <w:spacing w:after="0"/>
            </w:pPr>
            <w:r>
              <w:rPr>
                <w:rFonts w:ascii="Calibri" w:hAnsi="Calibri"/>
                <w:color w:val="1F2937"/>
                <w:sz w:val="17"/>
              </w:rPr>
              <w:t>Files modified</w:t>
            </w:r>
          </w:p>
        </w:tc>
        <w:tc>
          <w:tcPr>
            <w:tcW w:type="dxa" w:w="7660"/>
          </w:tcPr>
          <w:p>
            <w:pPr>
              <w:spacing w:after="0"/>
            </w:pPr>
            <w:r>
              <w:rPr>
                <w:rFonts w:ascii="Calibri" w:hAnsi="Calibri"/>
                <w:color w:val="1F2937"/>
                <w:sz w:val="17"/>
              </w:rPr>
              <w:t>src/domain/observations/*; sync/*</w:t>
            </w:r>
          </w:p>
        </w:tc>
      </w:tr>
      <w:tr>
        <w:tc>
          <w:tcPr>
            <w:tcW w:type="dxa" w:w="1700"/>
          </w:tcPr>
          <w:p>
            <w:pPr>
              <w:spacing w:after="0"/>
            </w:pPr>
            <w:r>
              <w:rPr>
                <w:rFonts w:ascii="Calibri" w:hAnsi="Calibri"/>
                <w:color w:val="1F2937"/>
                <w:sz w:val="17"/>
              </w:rPr>
              <w:t>Complexity</w:t>
            </w:r>
          </w:p>
        </w:tc>
        <w:tc>
          <w:tcPr>
            <w:tcW w:type="dxa" w:w="7660"/>
          </w:tcPr>
          <w:p>
            <w:pPr>
              <w:spacing w:after="0"/>
            </w:pPr>
            <w:r>
              <w:rPr>
                <w:rFonts w:ascii="Calibri" w:hAnsi="Calibri"/>
                <w:color w:val="1F2937"/>
                <w:sz w:val="17"/>
              </w:rPr>
              <w:t>High</w:t>
            </w:r>
          </w:p>
        </w:tc>
      </w:tr>
      <w:tr>
        <w:tc>
          <w:tcPr>
            <w:tcW w:type="dxa" w:w="1700"/>
          </w:tcPr>
          <w:p>
            <w:pPr>
              <w:spacing w:after="0"/>
            </w:pPr>
            <w:r>
              <w:rPr>
                <w:rFonts w:ascii="Calibri" w:hAnsi="Calibri"/>
                <w:color w:val="1F2937"/>
                <w:sz w:val="17"/>
              </w:rPr>
              <w:t>Regression risk</w:t>
            </w:r>
          </w:p>
        </w:tc>
        <w:tc>
          <w:tcPr>
            <w:tcW w:type="dxa" w:w="7660"/>
          </w:tcPr>
          <w:p>
            <w:pPr>
              <w:spacing w:after="0"/>
            </w:pPr>
            <w:r>
              <w:rPr>
                <w:rFonts w:ascii="Calibri" w:hAnsi="Calibri"/>
                <w:color w:val="1F2937"/>
                <w:sz w:val="17"/>
              </w:rPr>
              <w:t>High</w:t>
            </w:r>
          </w:p>
        </w:tc>
      </w:tr>
      <w:tr>
        <w:tc>
          <w:tcPr>
            <w:tcW w:type="dxa" w:w="1700"/>
          </w:tcPr>
          <w:p>
            <w:pPr>
              <w:spacing w:after="0"/>
            </w:pPr>
            <w:r>
              <w:rPr>
                <w:rFonts w:ascii="Calibri" w:hAnsi="Calibri"/>
                <w:color w:val="1F2937"/>
                <w:sz w:val="17"/>
              </w:rPr>
              <w:t>Testing required</w:t>
            </w:r>
          </w:p>
        </w:tc>
        <w:tc>
          <w:tcPr>
            <w:tcW w:type="dxa" w:w="7660"/>
          </w:tcPr>
          <w:p>
            <w:pPr>
              <w:spacing w:after="0"/>
            </w:pPr>
            <w:r>
              <w:rPr>
                <w:rFonts w:ascii="Calibri" w:hAnsi="Calibri"/>
                <w:color w:val="1F2937"/>
                <w:sz w:val="17"/>
              </w:rPr>
              <w:t>Sensor simulations, crash recovery, battery soak.</w:t>
            </w:r>
          </w:p>
        </w:tc>
      </w:tr>
      <w:tr>
        <w:tc>
          <w:tcPr>
            <w:tcW w:type="dxa" w:w="1700"/>
          </w:tcPr>
          <w:p>
            <w:pPr>
              <w:spacing w:after="0"/>
            </w:pPr>
            <w:r>
              <w:rPr>
                <w:rFonts w:ascii="Calibri" w:hAnsi="Calibri"/>
                <w:color w:val="1F2937"/>
                <w:sz w:val="17"/>
              </w:rPr>
              <w:t>Rollback</w:t>
            </w:r>
          </w:p>
        </w:tc>
        <w:tc>
          <w:tcPr>
            <w:tcW w:type="dxa" w:w="7660"/>
          </w:tcPr>
          <w:p>
            <w:pPr>
              <w:spacing w:after="0"/>
            </w:pPr>
            <w:r>
              <w:rPr>
                <w:rFonts w:ascii="Calibri" w:hAnsi="Calibri"/>
                <w:color w:val="1F2937"/>
                <w:sz w:val="17"/>
              </w:rPr>
              <w:t>Flag off collector; retain existing GPS display.</w:t>
            </w:r>
          </w:p>
        </w:tc>
      </w:tr>
      <w:tr>
        <w:tc>
          <w:tcPr>
            <w:tcW w:type="dxa" w:w="1700"/>
          </w:tcPr>
          <w:p>
            <w:pPr>
              <w:spacing w:after="0"/>
            </w:pPr>
            <w:r>
              <w:rPr>
                <w:rFonts w:ascii="Calibri" w:hAnsi="Calibri"/>
                <w:color w:val="1F2937"/>
                <w:sz w:val="17"/>
              </w:rPr>
              <w:t>Acceptance criteria</w:t>
            </w:r>
          </w:p>
        </w:tc>
        <w:tc>
          <w:tcPr>
            <w:tcW w:type="dxa" w:w="7660"/>
          </w:tcPr>
          <w:p>
            <w:pPr>
              <w:spacing w:after="0"/>
            </w:pPr>
            <w:r>
              <w:rPr>
                <w:rFonts w:ascii="Calibri" w:hAnsi="Calibri"/>
                <w:color w:val="1F2937"/>
                <w:sz w:val="17"/>
              </w:rPr>
              <w:t>Every accepted sample locally durable &lt;50 ms target.</w:t>
            </w:r>
          </w:p>
        </w:tc>
      </w:tr>
    </w:tbl>
    <w:p>
      <w:pPr>
        <w:spacing w:after="40"/>
      </w:pPr>
    </w:p>
    <w:p>
      <w:pPr>
        <w:pStyle w:val="Heading2"/>
      </w:pPr>
      <w:r>
        <w:t>M6 Auth and secure ingestion</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trPr>
        <w:tc>
          <w:tcPr>
            <w:tcW w:type="dxa" w:w="1700"/>
            <w:vAlign w:val="top"/>
            <w:tcMar>
              <w:top w:w="80" w:type="dxa"/>
              <w:bottom w:w="80" w:type="dxa"/>
              <w:start w:w="120" w:type="dxa"/>
              <w:end w:w="120" w:type="dxa"/>
            </w:tcMar>
            <w:shd w:fill="F2F4F7"/>
          </w:tcPr>
          <w:p>
            <w:pPr>
              <w:spacing w:after="0"/>
            </w:pPr>
            <w:r>
              <w:rPr>
                <w:rFonts w:ascii="Calibri" w:hAnsi="Calibri"/>
                <w:b/>
                <w:color w:val="18324A"/>
                <w:sz w:val="18"/>
              </w:rPr>
              <w:t>Field</w:t>
            </w:r>
          </w:p>
        </w:tc>
        <w:tc>
          <w:tcPr>
            <w:tcW w:type="dxa" w:w="7660"/>
            <w:vAlign w:val="top"/>
            <w:tcMar>
              <w:top w:w="80" w:type="dxa"/>
              <w:bottom w:w="80" w:type="dxa"/>
              <w:start w:w="120" w:type="dxa"/>
              <w:end w:w="120" w:type="dxa"/>
            </w:tcMar>
            <w:shd w:fill="F2F4F7"/>
          </w:tcPr>
          <w:p>
            <w:pPr>
              <w:spacing w:after="0"/>
            </w:pPr>
            <w:r>
              <w:rPr>
                <w:rFonts w:ascii="Calibri" w:hAnsi="Calibri"/>
                <w:b/>
                <w:color w:val="18324A"/>
                <w:sz w:val="18"/>
              </w:rPr>
              <w:t>Plan</w:t>
            </w:r>
          </w:p>
        </w:tc>
      </w:tr>
      <w:tr>
        <w:tc>
          <w:tcPr>
            <w:tcW w:type="dxa" w:w="1700"/>
          </w:tcPr>
          <w:p>
            <w:pPr>
              <w:spacing w:after="0"/>
            </w:pPr>
            <w:r>
              <w:rPr>
                <w:rFonts w:ascii="Calibri" w:hAnsi="Calibri"/>
                <w:color w:val="1F2937"/>
                <w:sz w:val="17"/>
              </w:rPr>
              <w:t>Goal</w:t>
            </w:r>
          </w:p>
        </w:tc>
        <w:tc>
          <w:tcPr>
            <w:tcW w:type="dxa" w:w="7660"/>
          </w:tcPr>
          <w:p>
            <w:pPr>
              <w:spacing w:after="0"/>
            </w:pPr>
            <w:r>
              <w:rPr>
                <w:rFonts w:ascii="Calibri" w:hAnsi="Calibri"/>
                <w:color w:val="1F2937"/>
                <w:sz w:val="17"/>
              </w:rPr>
              <w:t>Firebase Auth, Rules, ingest function, receipts, idempotency.</w:t>
            </w:r>
          </w:p>
        </w:tc>
      </w:tr>
      <w:tr>
        <w:tc>
          <w:tcPr>
            <w:tcW w:type="dxa" w:w="1700"/>
          </w:tcPr>
          <w:p>
            <w:pPr>
              <w:spacing w:after="0"/>
            </w:pPr>
            <w:r>
              <w:rPr>
                <w:rFonts w:ascii="Calibri" w:hAnsi="Calibri"/>
                <w:color w:val="1F2937"/>
                <w:sz w:val="17"/>
              </w:rPr>
              <w:t>Files modified</w:t>
            </w:r>
          </w:p>
        </w:tc>
        <w:tc>
          <w:tcPr>
            <w:tcW w:type="dxa" w:w="7660"/>
          </w:tcPr>
          <w:p>
            <w:pPr>
              <w:spacing w:after="0"/>
            </w:pPr>
            <w:r>
              <w:rPr>
                <w:rFonts w:ascii="Calibri" w:hAnsi="Calibri"/>
                <w:color w:val="1F2937"/>
                <w:sz w:val="17"/>
              </w:rPr>
              <w:t>functions/*; firebase rules; adapters</w:t>
            </w:r>
          </w:p>
        </w:tc>
      </w:tr>
      <w:tr>
        <w:tc>
          <w:tcPr>
            <w:tcW w:type="dxa" w:w="1700"/>
          </w:tcPr>
          <w:p>
            <w:pPr>
              <w:spacing w:after="0"/>
            </w:pPr>
            <w:r>
              <w:rPr>
                <w:rFonts w:ascii="Calibri" w:hAnsi="Calibri"/>
                <w:color w:val="1F2937"/>
                <w:sz w:val="17"/>
              </w:rPr>
              <w:t>Complexity</w:t>
            </w:r>
          </w:p>
        </w:tc>
        <w:tc>
          <w:tcPr>
            <w:tcW w:type="dxa" w:w="7660"/>
          </w:tcPr>
          <w:p>
            <w:pPr>
              <w:spacing w:after="0"/>
            </w:pPr>
            <w:r>
              <w:rPr>
                <w:rFonts w:ascii="Calibri" w:hAnsi="Calibri"/>
                <w:color w:val="1F2937"/>
                <w:sz w:val="17"/>
              </w:rPr>
              <w:t>High</w:t>
            </w:r>
          </w:p>
        </w:tc>
      </w:tr>
      <w:tr>
        <w:tc>
          <w:tcPr>
            <w:tcW w:type="dxa" w:w="1700"/>
          </w:tcPr>
          <w:p>
            <w:pPr>
              <w:spacing w:after="0"/>
            </w:pPr>
            <w:r>
              <w:rPr>
                <w:rFonts w:ascii="Calibri" w:hAnsi="Calibri"/>
                <w:color w:val="1F2937"/>
                <w:sz w:val="17"/>
              </w:rPr>
              <w:t>Regression risk</w:t>
            </w:r>
          </w:p>
        </w:tc>
        <w:tc>
          <w:tcPr>
            <w:tcW w:type="dxa" w:w="7660"/>
          </w:tcPr>
          <w:p>
            <w:pPr>
              <w:spacing w:after="0"/>
            </w:pPr>
            <w:r>
              <w:rPr>
                <w:rFonts w:ascii="Calibri" w:hAnsi="Calibri"/>
                <w:color w:val="1F2937"/>
                <w:sz w:val="17"/>
              </w:rPr>
              <w:t>High</w:t>
            </w:r>
          </w:p>
        </w:tc>
      </w:tr>
      <w:tr>
        <w:tc>
          <w:tcPr>
            <w:tcW w:type="dxa" w:w="1700"/>
          </w:tcPr>
          <w:p>
            <w:pPr>
              <w:spacing w:after="0"/>
            </w:pPr>
            <w:r>
              <w:rPr>
                <w:rFonts w:ascii="Calibri" w:hAnsi="Calibri"/>
                <w:color w:val="1F2937"/>
                <w:sz w:val="17"/>
              </w:rPr>
              <w:t>Testing required</w:t>
            </w:r>
          </w:p>
        </w:tc>
        <w:tc>
          <w:tcPr>
            <w:tcW w:type="dxa" w:w="7660"/>
          </w:tcPr>
          <w:p>
            <w:pPr>
              <w:spacing w:after="0"/>
            </w:pPr>
            <w:r>
              <w:rPr>
                <w:rFonts w:ascii="Calibri" w:hAnsi="Calibri"/>
                <w:color w:val="1F2937"/>
                <w:sz w:val="17"/>
              </w:rPr>
              <w:t>Emulator rules, replay, abuse tests.</w:t>
            </w:r>
          </w:p>
        </w:tc>
      </w:tr>
      <w:tr>
        <w:tc>
          <w:tcPr>
            <w:tcW w:type="dxa" w:w="1700"/>
          </w:tcPr>
          <w:p>
            <w:pPr>
              <w:spacing w:after="0"/>
            </w:pPr>
            <w:r>
              <w:rPr>
                <w:rFonts w:ascii="Calibri" w:hAnsi="Calibri"/>
                <w:color w:val="1F2937"/>
                <w:sz w:val="17"/>
              </w:rPr>
              <w:t>Rollback</w:t>
            </w:r>
          </w:p>
        </w:tc>
        <w:tc>
          <w:tcPr>
            <w:tcW w:type="dxa" w:w="7660"/>
          </w:tcPr>
          <w:p>
            <w:pPr>
              <w:spacing w:after="0"/>
            </w:pPr>
            <w:r>
              <w:rPr>
                <w:rFonts w:ascii="Calibri" w:hAnsi="Calibri"/>
                <w:color w:val="1F2937"/>
                <w:sz w:val="17"/>
              </w:rPr>
              <w:t>Keep upload disabled; local capture continues.</w:t>
            </w:r>
          </w:p>
        </w:tc>
      </w:tr>
      <w:tr>
        <w:tc>
          <w:tcPr>
            <w:tcW w:type="dxa" w:w="1700"/>
          </w:tcPr>
          <w:p>
            <w:pPr>
              <w:spacing w:after="0"/>
            </w:pPr>
            <w:r>
              <w:rPr>
                <w:rFonts w:ascii="Calibri" w:hAnsi="Calibri"/>
                <w:color w:val="1F2937"/>
                <w:sz w:val="17"/>
              </w:rPr>
              <w:t>Acceptance criteria</w:t>
            </w:r>
          </w:p>
        </w:tc>
        <w:tc>
          <w:tcPr>
            <w:tcW w:type="dxa" w:w="7660"/>
          </w:tcPr>
          <w:p>
            <w:pPr>
              <w:spacing w:after="0"/>
            </w:pPr>
            <w:r>
              <w:rPr>
                <w:rFonts w:ascii="Calibri" w:hAnsi="Calibri"/>
                <w:color w:val="1F2937"/>
                <w:sz w:val="17"/>
              </w:rPr>
              <w:t>Users write only own ingress; duplicate safe.</w:t>
            </w:r>
          </w:p>
        </w:tc>
      </w:tr>
    </w:tbl>
    <w:p>
      <w:pPr>
        <w:spacing w:after="40"/>
      </w:pPr>
    </w:p>
    <w:p>
      <w:pPr>
        <w:pStyle w:val="Heading2"/>
      </w:pPr>
      <w:r>
        <w:t>M7 Commitment Engine</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trPr>
        <w:tc>
          <w:tcPr>
            <w:tcW w:type="dxa" w:w="1700"/>
            <w:vAlign w:val="top"/>
            <w:tcMar>
              <w:top w:w="80" w:type="dxa"/>
              <w:bottom w:w="80" w:type="dxa"/>
              <w:start w:w="120" w:type="dxa"/>
              <w:end w:w="120" w:type="dxa"/>
            </w:tcMar>
            <w:shd w:fill="F2F4F7"/>
          </w:tcPr>
          <w:p>
            <w:pPr>
              <w:spacing w:after="0"/>
            </w:pPr>
            <w:r>
              <w:rPr>
                <w:rFonts w:ascii="Calibri" w:hAnsi="Calibri"/>
                <w:b/>
                <w:color w:val="18324A"/>
                <w:sz w:val="18"/>
              </w:rPr>
              <w:t>Field</w:t>
            </w:r>
          </w:p>
        </w:tc>
        <w:tc>
          <w:tcPr>
            <w:tcW w:type="dxa" w:w="7660"/>
            <w:vAlign w:val="top"/>
            <w:tcMar>
              <w:top w:w="80" w:type="dxa"/>
              <w:bottom w:w="80" w:type="dxa"/>
              <w:start w:w="120" w:type="dxa"/>
              <w:end w:w="120" w:type="dxa"/>
            </w:tcMar>
            <w:shd w:fill="F2F4F7"/>
          </w:tcPr>
          <w:p>
            <w:pPr>
              <w:spacing w:after="0"/>
            </w:pPr>
            <w:r>
              <w:rPr>
                <w:rFonts w:ascii="Calibri" w:hAnsi="Calibri"/>
                <w:b/>
                <w:color w:val="18324A"/>
                <w:sz w:val="18"/>
              </w:rPr>
              <w:t>Plan</w:t>
            </w:r>
          </w:p>
        </w:tc>
      </w:tr>
      <w:tr>
        <w:tc>
          <w:tcPr>
            <w:tcW w:type="dxa" w:w="1700"/>
          </w:tcPr>
          <w:p>
            <w:pPr>
              <w:spacing w:after="0"/>
            </w:pPr>
            <w:r>
              <w:rPr>
                <w:rFonts w:ascii="Calibri" w:hAnsi="Calibri"/>
                <w:color w:val="1F2937"/>
                <w:sz w:val="17"/>
              </w:rPr>
              <w:t>Goal</w:t>
            </w:r>
          </w:p>
        </w:tc>
        <w:tc>
          <w:tcPr>
            <w:tcW w:type="dxa" w:w="7660"/>
          </w:tcPr>
          <w:p>
            <w:pPr>
              <w:spacing w:after="0"/>
            </w:pPr>
            <w:r>
              <w:rPr>
                <w:rFonts w:ascii="Calibri" w:hAnsi="Calibri"/>
                <w:color w:val="1F2937"/>
                <w:sz w:val="17"/>
              </w:rPr>
              <w:t>Explainable multi-signal inference and explicit lifecycle.</w:t>
            </w:r>
          </w:p>
        </w:tc>
      </w:tr>
      <w:tr>
        <w:tc>
          <w:tcPr>
            <w:tcW w:type="dxa" w:w="1700"/>
          </w:tcPr>
          <w:p>
            <w:pPr>
              <w:spacing w:after="0"/>
            </w:pPr>
            <w:r>
              <w:rPr>
                <w:rFonts w:ascii="Calibri" w:hAnsi="Calibri"/>
                <w:color w:val="1F2937"/>
                <w:sz w:val="17"/>
              </w:rPr>
              <w:t>Files modified</w:t>
            </w:r>
          </w:p>
        </w:tc>
        <w:tc>
          <w:tcPr>
            <w:tcW w:type="dxa" w:w="7660"/>
          </w:tcPr>
          <w:p>
            <w:pPr>
              <w:spacing w:after="0"/>
            </w:pPr>
            <w:r>
              <w:rPr>
                <w:rFonts w:ascii="Calibri" w:hAnsi="Calibri"/>
                <w:color w:val="1F2937"/>
                <w:sz w:val="17"/>
              </w:rPr>
              <w:t>src/domain/commitment/*; functions/inferCommitment</w:t>
            </w:r>
          </w:p>
        </w:tc>
      </w:tr>
      <w:tr>
        <w:tc>
          <w:tcPr>
            <w:tcW w:type="dxa" w:w="1700"/>
          </w:tcPr>
          <w:p>
            <w:pPr>
              <w:spacing w:after="0"/>
            </w:pPr>
            <w:r>
              <w:rPr>
                <w:rFonts w:ascii="Calibri" w:hAnsi="Calibri"/>
                <w:color w:val="1F2937"/>
                <w:sz w:val="17"/>
              </w:rPr>
              <w:t>Complexity</w:t>
            </w:r>
          </w:p>
        </w:tc>
        <w:tc>
          <w:tcPr>
            <w:tcW w:type="dxa" w:w="7660"/>
          </w:tcPr>
          <w:p>
            <w:pPr>
              <w:spacing w:after="0"/>
            </w:pPr>
            <w:r>
              <w:rPr>
                <w:rFonts w:ascii="Calibri" w:hAnsi="Calibri"/>
                <w:color w:val="1F2937"/>
                <w:sz w:val="17"/>
              </w:rPr>
              <w:t>High</w:t>
            </w:r>
          </w:p>
        </w:tc>
      </w:tr>
      <w:tr>
        <w:tc>
          <w:tcPr>
            <w:tcW w:type="dxa" w:w="1700"/>
          </w:tcPr>
          <w:p>
            <w:pPr>
              <w:spacing w:after="0"/>
            </w:pPr>
            <w:r>
              <w:rPr>
                <w:rFonts w:ascii="Calibri" w:hAnsi="Calibri"/>
                <w:color w:val="1F2937"/>
                <w:sz w:val="17"/>
              </w:rPr>
              <w:t>Regression risk</w:t>
            </w:r>
          </w:p>
        </w:tc>
        <w:tc>
          <w:tcPr>
            <w:tcW w:type="dxa" w:w="7660"/>
          </w:tcPr>
          <w:p>
            <w:pPr>
              <w:spacing w:after="0"/>
            </w:pPr>
            <w:r>
              <w:rPr>
                <w:rFonts w:ascii="Calibri" w:hAnsi="Calibri"/>
                <w:color w:val="1F2937"/>
                <w:sz w:val="17"/>
              </w:rPr>
              <w:t>High</w:t>
            </w:r>
          </w:p>
        </w:tc>
      </w:tr>
      <w:tr>
        <w:tc>
          <w:tcPr>
            <w:tcW w:type="dxa" w:w="1700"/>
          </w:tcPr>
          <w:p>
            <w:pPr>
              <w:spacing w:after="0"/>
            </w:pPr>
            <w:r>
              <w:rPr>
                <w:rFonts w:ascii="Calibri" w:hAnsi="Calibri"/>
                <w:color w:val="1F2937"/>
                <w:sz w:val="17"/>
              </w:rPr>
              <w:t>Testing required</w:t>
            </w:r>
          </w:p>
        </w:tc>
        <w:tc>
          <w:tcPr>
            <w:tcW w:type="dxa" w:w="7660"/>
          </w:tcPr>
          <w:p>
            <w:pPr>
              <w:spacing w:after="0"/>
            </w:pPr>
            <w:r>
              <w:rPr>
                <w:rFonts w:ascii="Calibri" w:hAnsi="Calibri"/>
                <w:color w:val="1F2937"/>
                <w:sz w:val="17"/>
              </w:rPr>
              <w:t>Trace fixtures, false-positive/negative review.</w:t>
            </w:r>
          </w:p>
        </w:tc>
      </w:tr>
      <w:tr>
        <w:tc>
          <w:tcPr>
            <w:tcW w:type="dxa" w:w="1700"/>
          </w:tcPr>
          <w:p>
            <w:pPr>
              <w:spacing w:after="0"/>
            </w:pPr>
            <w:r>
              <w:rPr>
                <w:rFonts w:ascii="Calibri" w:hAnsi="Calibri"/>
                <w:color w:val="1F2937"/>
                <w:sz w:val="17"/>
              </w:rPr>
              <w:t>Rollback</w:t>
            </w:r>
          </w:p>
        </w:tc>
        <w:tc>
          <w:tcPr>
            <w:tcW w:type="dxa" w:w="7660"/>
          </w:tcPr>
          <w:p>
            <w:pPr>
              <w:spacing w:after="0"/>
            </w:pPr>
            <w:r>
              <w:rPr>
                <w:rFonts w:ascii="Calibri" w:hAnsi="Calibri"/>
                <w:color w:val="1F2937"/>
                <w:sz w:val="17"/>
              </w:rPr>
              <w:t>Shadow only; no downstream consumption.</w:t>
            </w:r>
          </w:p>
        </w:tc>
      </w:tr>
      <w:tr>
        <w:tc>
          <w:tcPr>
            <w:tcW w:type="dxa" w:w="1700"/>
          </w:tcPr>
          <w:p>
            <w:pPr>
              <w:spacing w:after="0"/>
            </w:pPr>
            <w:r>
              <w:rPr>
                <w:rFonts w:ascii="Calibri" w:hAnsi="Calibri"/>
                <w:color w:val="1F2937"/>
                <w:sz w:val="17"/>
              </w:rPr>
              <w:t>Acceptance criteria</w:t>
            </w:r>
          </w:p>
        </w:tc>
        <w:tc>
          <w:tcPr>
            <w:tcW w:type="dxa" w:w="7660"/>
          </w:tcPr>
          <w:p>
            <w:pPr>
              <w:spacing w:after="0"/>
            </w:pPr>
            <w:r>
              <w:rPr>
                <w:rFonts w:ascii="Calibri" w:hAnsi="Calibri"/>
                <w:color w:val="1F2937"/>
                <w:sz w:val="17"/>
              </w:rPr>
              <w:t>Every inference explains evidence; never marked observed.</w:t>
            </w:r>
          </w:p>
        </w:tc>
      </w:tr>
    </w:tbl>
    <w:p>
      <w:pPr>
        <w:spacing w:after="40"/>
      </w:pPr>
    </w:p>
    <w:p>
      <w:pPr>
        <w:pStyle w:val="Heading2"/>
      </w:pPr>
      <w:r>
        <w:t>M8 Route Family Engine</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trPr>
        <w:tc>
          <w:tcPr>
            <w:tcW w:type="dxa" w:w="1700"/>
            <w:vAlign w:val="top"/>
            <w:tcMar>
              <w:top w:w="80" w:type="dxa"/>
              <w:bottom w:w="80" w:type="dxa"/>
              <w:start w:w="120" w:type="dxa"/>
              <w:end w:w="120" w:type="dxa"/>
            </w:tcMar>
            <w:shd w:fill="F2F4F7"/>
          </w:tcPr>
          <w:p>
            <w:pPr>
              <w:spacing w:after="0"/>
            </w:pPr>
            <w:r>
              <w:rPr>
                <w:rFonts w:ascii="Calibri" w:hAnsi="Calibri"/>
                <w:b/>
                <w:color w:val="18324A"/>
                <w:sz w:val="18"/>
              </w:rPr>
              <w:t>Field</w:t>
            </w:r>
          </w:p>
        </w:tc>
        <w:tc>
          <w:tcPr>
            <w:tcW w:type="dxa" w:w="7660"/>
            <w:vAlign w:val="top"/>
            <w:tcMar>
              <w:top w:w="80" w:type="dxa"/>
              <w:bottom w:w="80" w:type="dxa"/>
              <w:start w:w="120" w:type="dxa"/>
              <w:end w:w="120" w:type="dxa"/>
            </w:tcMar>
            <w:shd w:fill="F2F4F7"/>
          </w:tcPr>
          <w:p>
            <w:pPr>
              <w:spacing w:after="0"/>
            </w:pPr>
            <w:r>
              <w:rPr>
                <w:rFonts w:ascii="Calibri" w:hAnsi="Calibri"/>
                <w:b/>
                <w:color w:val="18324A"/>
                <w:sz w:val="18"/>
              </w:rPr>
              <w:t>Plan</w:t>
            </w:r>
          </w:p>
        </w:tc>
      </w:tr>
      <w:tr>
        <w:tc>
          <w:tcPr>
            <w:tcW w:type="dxa" w:w="1700"/>
          </w:tcPr>
          <w:p>
            <w:pPr>
              <w:spacing w:after="0"/>
            </w:pPr>
            <w:r>
              <w:rPr>
                <w:rFonts w:ascii="Calibri" w:hAnsi="Calibri"/>
                <w:color w:val="1F2937"/>
                <w:sz w:val="17"/>
              </w:rPr>
              <w:t>Goal</w:t>
            </w:r>
          </w:p>
        </w:tc>
        <w:tc>
          <w:tcPr>
            <w:tcW w:type="dxa" w:w="7660"/>
          </w:tcPr>
          <w:p>
            <w:pPr>
              <w:spacing w:after="0"/>
            </w:pPr>
            <w:r>
              <w:rPr>
                <w:rFonts w:ascii="Calibri" w:hAnsi="Calibri"/>
                <w:color w:val="1F2937"/>
                <w:sz w:val="17"/>
              </w:rPr>
              <w:t>Families, variants, independent/aggregate stats, provisional merge/split.</w:t>
            </w:r>
          </w:p>
        </w:tc>
      </w:tr>
      <w:tr>
        <w:tc>
          <w:tcPr>
            <w:tcW w:type="dxa" w:w="1700"/>
          </w:tcPr>
          <w:p>
            <w:pPr>
              <w:spacing w:after="0"/>
            </w:pPr>
            <w:r>
              <w:rPr>
                <w:rFonts w:ascii="Calibri" w:hAnsi="Calibri"/>
                <w:color w:val="1F2937"/>
                <w:sz w:val="17"/>
              </w:rPr>
              <w:t>Files modified</w:t>
            </w:r>
          </w:p>
        </w:tc>
        <w:tc>
          <w:tcPr>
            <w:tcW w:type="dxa" w:w="7660"/>
          </w:tcPr>
          <w:p>
            <w:pPr>
              <w:spacing w:after="0"/>
            </w:pPr>
            <w:r>
              <w:rPr>
                <w:rFonts w:ascii="Calibri" w:hAnsi="Calibri"/>
                <w:color w:val="1F2937"/>
                <w:sz w:val="17"/>
              </w:rPr>
              <w:t>src/domain/routes/*; functions/routes/*</w:t>
            </w:r>
          </w:p>
        </w:tc>
      </w:tr>
      <w:tr>
        <w:tc>
          <w:tcPr>
            <w:tcW w:type="dxa" w:w="1700"/>
          </w:tcPr>
          <w:p>
            <w:pPr>
              <w:spacing w:after="0"/>
            </w:pPr>
            <w:r>
              <w:rPr>
                <w:rFonts w:ascii="Calibri" w:hAnsi="Calibri"/>
                <w:color w:val="1F2937"/>
                <w:sz w:val="17"/>
              </w:rPr>
              <w:t>Complexity</w:t>
            </w:r>
          </w:p>
        </w:tc>
        <w:tc>
          <w:tcPr>
            <w:tcW w:type="dxa" w:w="7660"/>
          </w:tcPr>
          <w:p>
            <w:pPr>
              <w:spacing w:after="0"/>
            </w:pPr>
            <w:r>
              <w:rPr>
                <w:rFonts w:ascii="Calibri" w:hAnsi="Calibri"/>
                <w:color w:val="1F2937"/>
                <w:sz w:val="17"/>
              </w:rPr>
              <w:t>Very High</w:t>
            </w:r>
          </w:p>
        </w:tc>
      </w:tr>
      <w:tr>
        <w:tc>
          <w:tcPr>
            <w:tcW w:type="dxa" w:w="1700"/>
          </w:tcPr>
          <w:p>
            <w:pPr>
              <w:spacing w:after="0"/>
            </w:pPr>
            <w:r>
              <w:rPr>
                <w:rFonts w:ascii="Calibri" w:hAnsi="Calibri"/>
                <w:color w:val="1F2937"/>
                <w:sz w:val="17"/>
              </w:rPr>
              <w:t>Regression risk</w:t>
            </w:r>
          </w:p>
        </w:tc>
        <w:tc>
          <w:tcPr>
            <w:tcW w:type="dxa" w:w="7660"/>
          </w:tcPr>
          <w:p>
            <w:pPr>
              <w:spacing w:after="0"/>
            </w:pPr>
            <w:r>
              <w:rPr>
                <w:rFonts w:ascii="Calibri" w:hAnsi="Calibri"/>
                <w:color w:val="1F2937"/>
                <w:sz w:val="17"/>
              </w:rPr>
              <w:t>High</w:t>
            </w:r>
          </w:p>
        </w:tc>
      </w:tr>
      <w:tr>
        <w:tc>
          <w:tcPr>
            <w:tcW w:type="dxa" w:w="1700"/>
          </w:tcPr>
          <w:p>
            <w:pPr>
              <w:spacing w:after="0"/>
            </w:pPr>
            <w:r>
              <w:rPr>
                <w:rFonts w:ascii="Calibri" w:hAnsi="Calibri"/>
                <w:color w:val="1F2937"/>
                <w:sz w:val="17"/>
              </w:rPr>
              <w:t>Testing required</w:t>
            </w:r>
          </w:p>
        </w:tc>
        <w:tc>
          <w:tcPr>
            <w:tcW w:type="dxa" w:w="7660"/>
          </w:tcPr>
          <w:p>
            <w:pPr>
              <w:spacing w:after="0"/>
            </w:pPr>
            <w:r>
              <w:rPr>
                <w:rFonts w:ascii="Calibri" w:hAnsi="Calibri"/>
                <w:color w:val="1F2937"/>
                <w:sz w:val="17"/>
              </w:rPr>
              <w:t>Deterministic replay, lineage, contention, scale.</w:t>
            </w:r>
          </w:p>
        </w:tc>
      </w:tr>
      <w:tr>
        <w:tc>
          <w:tcPr>
            <w:tcW w:type="dxa" w:w="1700"/>
          </w:tcPr>
          <w:p>
            <w:pPr>
              <w:spacing w:after="0"/>
            </w:pPr>
            <w:r>
              <w:rPr>
                <w:rFonts w:ascii="Calibri" w:hAnsi="Calibri"/>
                <w:color w:val="1F2937"/>
                <w:sz w:val="17"/>
              </w:rPr>
              <w:t>Rollback</w:t>
            </w:r>
          </w:p>
        </w:tc>
        <w:tc>
          <w:tcPr>
            <w:tcW w:type="dxa" w:w="7660"/>
          </w:tcPr>
          <w:p>
            <w:pPr>
              <w:spacing w:after="0"/>
            </w:pPr>
            <w:r>
              <w:rPr>
                <w:rFonts w:ascii="Calibri" w:hAnsi="Calibri"/>
                <w:color w:val="1F2937"/>
                <w:sz w:val="17"/>
              </w:rPr>
              <w:t>Shadow projections; retain prior revision pointer.</w:t>
            </w:r>
          </w:p>
        </w:tc>
      </w:tr>
      <w:tr>
        <w:tc>
          <w:tcPr>
            <w:tcW w:type="dxa" w:w="1700"/>
          </w:tcPr>
          <w:p>
            <w:pPr>
              <w:spacing w:after="0"/>
            </w:pPr>
            <w:r>
              <w:rPr>
                <w:rFonts w:ascii="Calibri" w:hAnsi="Calibri"/>
                <w:color w:val="1F2937"/>
                <w:sz w:val="17"/>
              </w:rPr>
              <w:t>Acceptance criteria</w:t>
            </w:r>
          </w:p>
        </w:tc>
        <w:tc>
          <w:tcPr>
            <w:tcW w:type="dxa" w:w="7660"/>
          </w:tcPr>
          <w:p>
            <w:pPr>
              <w:spacing w:after="0"/>
            </w:pPr>
            <w:r>
              <w:rPr>
                <w:rFonts w:ascii="Calibri" w:hAnsi="Calibri"/>
                <w:color w:val="1F2937"/>
                <w:sz w:val="17"/>
              </w:rPr>
              <w:t>No statistic loss; merge/split reversible and explainable.</w:t>
            </w:r>
          </w:p>
        </w:tc>
      </w:tr>
    </w:tbl>
    <w:p>
      <w:pPr>
        <w:spacing w:after="40"/>
      </w:pPr>
    </w:p>
    <w:p>
      <w:pPr>
        <w:pStyle w:val="Heading2"/>
      </w:pPr>
      <w:r>
        <w:t>M9 Confidence Evolution</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trPr>
        <w:tc>
          <w:tcPr>
            <w:tcW w:type="dxa" w:w="1700"/>
            <w:vAlign w:val="top"/>
            <w:tcMar>
              <w:top w:w="80" w:type="dxa"/>
              <w:bottom w:w="80" w:type="dxa"/>
              <w:start w:w="120" w:type="dxa"/>
              <w:end w:w="120" w:type="dxa"/>
            </w:tcMar>
            <w:shd w:fill="F2F4F7"/>
          </w:tcPr>
          <w:p>
            <w:pPr>
              <w:spacing w:after="0"/>
            </w:pPr>
            <w:r>
              <w:rPr>
                <w:rFonts w:ascii="Calibri" w:hAnsi="Calibri"/>
                <w:b/>
                <w:color w:val="18324A"/>
                <w:sz w:val="18"/>
              </w:rPr>
              <w:t>Field</w:t>
            </w:r>
          </w:p>
        </w:tc>
        <w:tc>
          <w:tcPr>
            <w:tcW w:type="dxa" w:w="7660"/>
            <w:vAlign w:val="top"/>
            <w:tcMar>
              <w:top w:w="80" w:type="dxa"/>
              <w:bottom w:w="80" w:type="dxa"/>
              <w:start w:w="120" w:type="dxa"/>
              <w:end w:w="120" w:type="dxa"/>
            </w:tcMar>
            <w:shd w:fill="F2F4F7"/>
          </w:tcPr>
          <w:p>
            <w:pPr>
              <w:spacing w:after="0"/>
            </w:pPr>
            <w:r>
              <w:rPr>
                <w:rFonts w:ascii="Calibri" w:hAnsi="Calibri"/>
                <w:b/>
                <w:color w:val="18324A"/>
                <w:sz w:val="18"/>
              </w:rPr>
              <w:t>Plan</w:t>
            </w:r>
          </w:p>
        </w:tc>
      </w:tr>
      <w:tr>
        <w:tc>
          <w:tcPr>
            <w:tcW w:type="dxa" w:w="1700"/>
          </w:tcPr>
          <w:p>
            <w:pPr>
              <w:spacing w:after="0"/>
            </w:pPr>
            <w:r>
              <w:rPr>
                <w:rFonts w:ascii="Calibri" w:hAnsi="Calibri"/>
                <w:color w:val="1F2937"/>
                <w:sz w:val="17"/>
              </w:rPr>
              <w:t>Goal</w:t>
            </w:r>
          </w:p>
        </w:tc>
        <w:tc>
          <w:tcPr>
            <w:tcW w:type="dxa" w:w="7660"/>
          </w:tcPr>
          <w:p>
            <w:pPr>
              <w:spacing w:after="0"/>
            </w:pPr>
            <w:r>
              <w:rPr>
                <w:rFonts w:ascii="Calibri" w:hAnsi="Calibri"/>
                <w:color w:val="1F2937"/>
                <w:sz w:val="17"/>
              </w:rPr>
              <w:t>Seven independent dimensions and time evolution policies.</w:t>
            </w:r>
          </w:p>
        </w:tc>
      </w:tr>
      <w:tr>
        <w:tc>
          <w:tcPr>
            <w:tcW w:type="dxa" w:w="1700"/>
          </w:tcPr>
          <w:p>
            <w:pPr>
              <w:spacing w:after="0"/>
            </w:pPr>
            <w:r>
              <w:rPr>
                <w:rFonts w:ascii="Calibri" w:hAnsi="Calibri"/>
                <w:color w:val="1F2937"/>
                <w:sz w:val="17"/>
              </w:rPr>
              <w:t>Files modified</w:t>
            </w:r>
          </w:p>
        </w:tc>
        <w:tc>
          <w:tcPr>
            <w:tcW w:type="dxa" w:w="7660"/>
          </w:tcPr>
          <w:p>
            <w:pPr>
              <w:spacing w:after="0"/>
            </w:pPr>
            <w:r>
              <w:rPr>
                <w:rFonts w:ascii="Calibri" w:hAnsi="Calibri"/>
                <w:color w:val="1F2937"/>
                <w:sz w:val="17"/>
              </w:rPr>
              <w:t>src/domain/confidence/*; shared/contracts</w:t>
            </w:r>
          </w:p>
        </w:tc>
      </w:tr>
      <w:tr>
        <w:tc>
          <w:tcPr>
            <w:tcW w:type="dxa" w:w="1700"/>
          </w:tcPr>
          <w:p>
            <w:pPr>
              <w:spacing w:after="0"/>
            </w:pPr>
            <w:r>
              <w:rPr>
                <w:rFonts w:ascii="Calibri" w:hAnsi="Calibri"/>
                <w:color w:val="1F2937"/>
                <w:sz w:val="17"/>
              </w:rPr>
              <w:t>Complexity</w:t>
            </w:r>
          </w:p>
        </w:tc>
        <w:tc>
          <w:tcPr>
            <w:tcW w:type="dxa" w:w="7660"/>
          </w:tcPr>
          <w:p>
            <w:pPr>
              <w:spacing w:after="0"/>
            </w:pPr>
            <w:r>
              <w:rPr>
                <w:rFonts w:ascii="Calibri" w:hAnsi="Calibri"/>
                <w:color w:val="1F2937"/>
                <w:sz w:val="17"/>
              </w:rPr>
              <w:t>High</w:t>
            </w:r>
          </w:p>
        </w:tc>
      </w:tr>
      <w:tr>
        <w:tc>
          <w:tcPr>
            <w:tcW w:type="dxa" w:w="1700"/>
          </w:tcPr>
          <w:p>
            <w:pPr>
              <w:spacing w:after="0"/>
            </w:pPr>
            <w:r>
              <w:rPr>
                <w:rFonts w:ascii="Calibri" w:hAnsi="Calibri"/>
                <w:color w:val="1F2937"/>
                <w:sz w:val="17"/>
              </w:rPr>
              <w:t>Regression risk</w:t>
            </w:r>
          </w:p>
        </w:tc>
        <w:tc>
          <w:tcPr>
            <w:tcW w:type="dxa" w:w="7660"/>
          </w:tcPr>
          <w:p>
            <w:pPr>
              <w:spacing w:after="0"/>
            </w:pPr>
            <w:r>
              <w:rPr>
                <w:rFonts w:ascii="Calibri" w:hAnsi="Calibri"/>
                <w:color w:val="1F2937"/>
                <w:sz w:val="17"/>
              </w:rPr>
              <w:t>High</w:t>
            </w:r>
          </w:p>
        </w:tc>
      </w:tr>
      <w:tr>
        <w:tc>
          <w:tcPr>
            <w:tcW w:type="dxa" w:w="1700"/>
          </w:tcPr>
          <w:p>
            <w:pPr>
              <w:spacing w:after="0"/>
            </w:pPr>
            <w:r>
              <w:rPr>
                <w:rFonts w:ascii="Calibri" w:hAnsi="Calibri"/>
                <w:color w:val="1F2937"/>
                <w:sz w:val="17"/>
              </w:rPr>
              <w:t>Testing required</w:t>
            </w:r>
          </w:p>
        </w:tc>
        <w:tc>
          <w:tcPr>
            <w:tcW w:type="dxa" w:w="7660"/>
          </w:tcPr>
          <w:p>
            <w:pPr>
              <w:spacing w:after="0"/>
            </w:pPr>
            <w:r>
              <w:rPr>
                <w:rFonts w:ascii="Calibri" w:hAnsi="Calibri"/>
                <w:color w:val="1F2937"/>
                <w:sz w:val="17"/>
              </w:rPr>
              <w:t>Dimension-specific monotonicity/decay tests.</w:t>
            </w:r>
          </w:p>
        </w:tc>
      </w:tr>
      <w:tr>
        <w:tc>
          <w:tcPr>
            <w:tcW w:type="dxa" w:w="1700"/>
          </w:tcPr>
          <w:p>
            <w:pPr>
              <w:spacing w:after="0"/>
            </w:pPr>
            <w:r>
              <w:rPr>
                <w:rFonts w:ascii="Calibri" w:hAnsi="Calibri"/>
                <w:color w:val="1F2937"/>
                <w:sz w:val="17"/>
              </w:rPr>
              <w:t>Rollback</w:t>
            </w:r>
          </w:p>
        </w:tc>
        <w:tc>
          <w:tcPr>
            <w:tcW w:type="dxa" w:w="7660"/>
          </w:tcPr>
          <w:p>
            <w:pPr>
              <w:spacing w:after="0"/>
            </w:pPr>
            <w:r>
              <w:rPr>
                <w:rFonts w:ascii="Calibri" w:hAnsi="Calibri"/>
                <w:color w:val="1F2937"/>
                <w:sz w:val="17"/>
              </w:rPr>
              <w:t>Read old confidence as migration input only.</w:t>
            </w:r>
          </w:p>
        </w:tc>
      </w:tr>
      <w:tr>
        <w:tc>
          <w:tcPr>
            <w:tcW w:type="dxa" w:w="1700"/>
          </w:tcPr>
          <w:p>
            <w:pPr>
              <w:spacing w:after="0"/>
            </w:pPr>
            <w:r>
              <w:rPr>
                <w:rFonts w:ascii="Calibri" w:hAnsi="Calibri"/>
                <w:color w:val="1F2937"/>
                <w:sz w:val="17"/>
              </w:rPr>
              <w:t>Acceptance criteria</w:t>
            </w:r>
          </w:p>
        </w:tc>
        <w:tc>
          <w:tcPr>
            <w:tcW w:type="dxa" w:w="7660"/>
          </w:tcPr>
          <w:p>
            <w:pPr>
              <w:spacing w:after="0"/>
            </w:pPr>
            <w:r>
              <w:rPr>
                <w:rFonts w:ascii="Calibri" w:hAnsi="Calibri"/>
                <w:color w:val="1F2937"/>
                <w:sz w:val="17"/>
              </w:rPr>
              <w:t>No single score; each dimension has provenance.</w:t>
            </w:r>
          </w:p>
        </w:tc>
      </w:tr>
    </w:tbl>
    <w:p>
      <w:pPr>
        <w:spacing w:after="40"/>
      </w:pPr>
    </w:p>
    <w:p>
      <w:pPr>
        <w:pStyle w:val="Heading2"/>
      </w:pPr>
      <w:r>
        <w:t>M10 Checkpoint and compatibility</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trPr>
        <w:tc>
          <w:tcPr>
            <w:tcW w:type="dxa" w:w="1700"/>
            <w:vAlign w:val="top"/>
            <w:tcMar>
              <w:top w:w="80" w:type="dxa"/>
              <w:bottom w:w="80" w:type="dxa"/>
              <w:start w:w="120" w:type="dxa"/>
              <w:end w:w="120" w:type="dxa"/>
            </w:tcMar>
            <w:shd w:fill="F2F4F7"/>
          </w:tcPr>
          <w:p>
            <w:pPr>
              <w:spacing w:after="0"/>
            </w:pPr>
            <w:r>
              <w:rPr>
                <w:rFonts w:ascii="Calibri" w:hAnsi="Calibri"/>
                <w:b/>
                <w:color w:val="18324A"/>
                <w:sz w:val="18"/>
              </w:rPr>
              <w:t>Field</w:t>
            </w:r>
          </w:p>
        </w:tc>
        <w:tc>
          <w:tcPr>
            <w:tcW w:type="dxa" w:w="7660"/>
            <w:vAlign w:val="top"/>
            <w:tcMar>
              <w:top w:w="80" w:type="dxa"/>
              <w:bottom w:w="80" w:type="dxa"/>
              <w:start w:w="120" w:type="dxa"/>
              <w:end w:w="120" w:type="dxa"/>
            </w:tcMar>
            <w:shd w:fill="F2F4F7"/>
          </w:tcPr>
          <w:p>
            <w:pPr>
              <w:spacing w:after="0"/>
            </w:pPr>
            <w:r>
              <w:rPr>
                <w:rFonts w:ascii="Calibri" w:hAnsi="Calibri"/>
                <w:b/>
                <w:color w:val="18324A"/>
                <w:sz w:val="18"/>
              </w:rPr>
              <w:t>Plan</w:t>
            </w:r>
          </w:p>
        </w:tc>
      </w:tr>
      <w:tr>
        <w:tc>
          <w:tcPr>
            <w:tcW w:type="dxa" w:w="1700"/>
          </w:tcPr>
          <w:p>
            <w:pPr>
              <w:spacing w:after="0"/>
            </w:pPr>
            <w:r>
              <w:rPr>
                <w:rFonts w:ascii="Calibri" w:hAnsi="Calibri"/>
                <w:color w:val="1F2937"/>
                <w:sz w:val="17"/>
              </w:rPr>
              <w:t>Goal</w:t>
            </w:r>
          </w:p>
        </w:tc>
        <w:tc>
          <w:tcPr>
            <w:tcW w:type="dxa" w:w="7660"/>
          </w:tcPr>
          <w:p>
            <w:pPr>
              <w:spacing w:after="0"/>
            </w:pPr>
            <w:r>
              <w:rPr>
                <w:rFonts w:ascii="Calibri" w:hAnsi="Calibri"/>
                <w:color w:val="1F2937"/>
                <w:sz w:val="17"/>
              </w:rPr>
              <w:t>Checkpoint/sequence aggregates; explainable network compatibility.</w:t>
            </w:r>
          </w:p>
        </w:tc>
      </w:tr>
      <w:tr>
        <w:tc>
          <w:tcPr>
            <w:tcW w:type="dxa" w:w="1700"/>
          </w:tcPr>
          <w:p>
            <w:pPr>
              <w:spacing w:after="0"/>
            </w:pPr>
            <w:r>
              <w:rPr>
                <w:rFonts w:ascii="Calibri" w:hAnsi="Calibri"/>
                <w:color w:val="1F2937"/>
                <w:sz w:val="17"/>
              </w:rPr>
              <w:t>Files modified</w:t>
            </w:r>
          </w:p>
        </w:tc>
        <w:tc>
          <w:tcPr>
            <w:tcW w:type="dxa" w:w="7660"/>
          </w:tcPr>
          <w:p>
            <w:pPr>
              <w:spacing w:after="0"/>
            </w:pPr>
            <w:r>
              <w:rPr>
                <w:rFonts w:ascii="Calibri" w:hAnsi="Calibri"/>
                <w:color w:val="1F2937"/>
                <w:sz w:val="17"/>
              </w:rPr>
              <w:t>domain/checkpoints; compatibility; network</w:t>
            </w:r>
          </w:p>
        </w:tc>
      </w:tr>
      <w:tr>
        <w:tc>
          <w:tcPr>
            <w:tcW w:type="dxa" w:w="1700"/>
          </w:tcPr>
          <w:p>
            <w:pPr>
              <w:spacing w:after="0"/>
            </w:pPr>
            <w:r>
              <w:rPr>
                <w:rFonts w:ascii="Calibri" w:hAnsi="Calibri"/>
                <w:color w:val="1F2937"/>
                <w:sz w:val="17"/>
              </w:rPr>
              <w:t>Complexity</w:t>
            </w:r>
          </w:p>
        </w:tc>
        <w:tc>
          <w:tcPr>
            <w:tcW w:type="dxa" w:w="7660"/>
          </w:tcPr>
          <w:p>
            <w:pPr>
              <w:spacing w:after="0"/>
            </w:pPr>
            <w:r>
              <w:rPr>
                <w:rFonts w:ascii="Calibri" w:hAnsi="Calibri"/>
                <w:color w:val="1F2937"/>
                <w:sz w:val="17"/>
              </w:rPr>
              <w:t>High</w:t>
            </w:r>
          </w:p>
        </w:tc>
      </w:tr>
      <w:tr>
        <w:tc>
          <w:tcPr>
            <w:tcW w:type="dxa" w:w="1700"/>
          </w:tcPr>
          <w:p>
            <w:pPr>
              <w:spacing w:after="0"/>
            </w:pPr>
            <w:r>
              <w:rPr>
                <w:rFonts w:ascii="Calibri" w:hAnsi="Calibri"/>
                <w:color w:val="1F2937"/>
                <w:sz w:val="17"/>
              </w:rPr>
              <w:t>Regression risk</w:t>
            </w:r>
          </w:p>
        </w:tc>
        <w:tc>
          <w:tcPr>
            <w:tcW w:type="dxa" w:w="7660"/>
          </w:tcPr>
          <w:p>
            <w:pPr>
              <w:spacing w:after="0"/>
            </w:pPr>
            <w:r>
              <w:rPr>
                <w:rFonts w:ascii="Calibri" w:hAnsi="Calibri"/>
                <w:color w:val="1F2937"/>
                <w:sz w:val="17"/>
              </w:rPr>
              <w:t>High</w:t>
            </w:r>
          </w:p>
        </w:tc>
      </w:tr>
      <w:tr>
        <w:tc>
          <w:tcPr>
            <w:tcW w:type="dxa" w:w="1700"/>
          </w:tcPr>
          <w:p>
            <w:pPr>
              <w:spacing w:after="0"/>
            </w:pPr>
            <w:r>
              <w:rPr>
                <w:rFonts w:ascii="Calibri" w:hAnsi="Calibri"/>
                <w:color w:val="1F2937"/>
                <w:sz w:val="17"/>
              </w:rPr>
              <w:t>Testing required</w:t>
            </w:r>
          </w:p>
        </w:tc>
        <w:tc>
          <w:tcPr>
            <w:tcW w:type="dxa" w:w="7660"/>
          </w:tcPr>
          <w:p>
            <w:pPr>
              <w:spacing w:after="0"/>
            </w:pPr>
            <w:r>
              <w:rPr>
                <w:rFonts w:ascii="Calibri" w:hAnsi="Calibri"/>
                <w:color w:val="1F2937"/>
                <w:sz w:val="17"/>
              </w:rPr>
              <w:t>Aggregate rebuild and suggestion-only tests.</w:t>
            </w:r>
          </w:p>
        </w:tc>
      </w:tr>
      <w:tr>
        <w:tc>
          <w:tcPr>
            <w:tcW w:type="dxa" w:w="1700"/>
          </w:tcPr>
          <w:p>
            <w:pPr>
              <w:spacing w:after="0"/>
            </w:pPr>
            <w:r>
              <w:rPr>
                <w:rFonts w:ascii="Calibri" w:hAnsi="Calibri"/>
                <w:color w:val="1F2937"/>
                <w:sz w:val="17"/>
              </w:rPr>
              <w:t>Rollback</w:t>
            </w:r>
          </w:p>
        </w:tc>
        <w:tc>
          <w:tcPr>
            <w:tcW w:type="dxa" w:w="7660"/>
          </w:tcPr>
          <w:p>
            <w:pPr>
              <w:spacing w:after="0"/>
            </w:pPr>
            <w:r>
              <w:rPr>
                <w:rFonts w:ascii="Calibri" w:hAnsi="Calibri"/>
                <w:color w:val="1F2937"/>
                <w:sz w:val="17"/>
              </w:rPr>
              <w:t>Disable suggestions/projections.</w:t>
            </w:r>
          </w:p>
        </w:tc>
      </w:tr>
      <w:tr>
        <w:tc>
          <w:tcPr>
            <w:tcW w:type="dxa" w:w="1700"/>
          </w:tcPr>
          <w:p>
            <w:pPr>
              <w:spacing w:after="0"/>
            </w:pPr>
            <w:r>
              <w:rPr>
                <w:rFonts w:ascii="Calibri" w:hAnsi="Calibri"/>
                <w:color w:val="1F2937"/>
                <w:sz w:val="17"/>
              </w:rPr>
              <w:t>Acceptance criteria</w:t>
            </w:r>
          </w:p>
        </w:tc>
        <w:tc>
          <w:tcPr>
            <w:tcW w:type="dxa" w:w="7660"/>
          </w:tcPr>
          <w:p>
            <w:pPr>
              <w:spacing w:after="0"/>
            </w:pPr>
            <w:r>
              <w:rPr>
                <w:rFonts w:ascii="Calibri" w:hAnsi="Calibri"/>
                <w:color w:val="1F2937"/>
                <w:sz w:val="17"/>
              </w:rPr>
              <w:t>Network never auto-mutated.</w:t>
            </w:r>
          </w:p>
        </w:tc>
      </w:tr>
    </w:tbl>
    <w:p>
      <w:pPr>
        <w:spacing w:after="40"/>
      </w:pPr>
    </w:p>
    <w:p>
      <w:pPr>
        <w:pStyle w:val="Heading2"/>
      </w:pPr>
      <w:r>
        <w:t>M11 Publication pipeline</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trPr>
        <w:tc>
          <w:tcPr>
            <w:tcW w:type="dxa" w:w="1700"/>
            <w:vAlign w:val="top"/>
            <w:tcMar>
              <w:top w:w="80" w:type="dxa"/>
              <w:bottom w:w="80" w:type="dxa"/>
              <w:start w:w="120" w:type="dxa"/>
              <w:end w:w="120" w:type="dxa"/>
            </w:tcMar>
            <w:shd w:fill="F2F4F7"/>
          </w:tcPr>
          <w:p>
            <w:pPr>
              <w:spacing w:after="0"/>
            </w:pPr>
            <w:r>
              <w:rPr>
                <w:rFonts w:ascii="Calibri" w:hAnsi="Calibri"/>
                <w:b/>
                <w:color w:val="18324A"/>
                <w:sz w:val="18"/>
              </w:rPr>
              <w:t>Field</w:t>
            </w:r>
          </w:p>
        </w:tc>
        <w:tc>
          <w:tcPr>
            <w:tcW w:type="dxa" w:w="7660"/>
            <w:vAlign w:val="top"/>
            <w:tcMar>
              <w:top w:w="80" w:type="dxa"/>
              <w:bottom w:w="80" w:type="dxa"/>
              <w:start w:w="120" w:type="dxa"/>
              <w:end w:w="120" w:type="dxa"/>
            </w:tcMar>
            <w:shd w:fill="F2F4F7"/>
          </w:tcPr>
          <w:p>
            <w:pPr>
              <w:spacing w:after="0"/>
            </w:pPr>
            <w:r>
              <w:rPr>
                <w:rFonts w:ascii="Calibri" w:hAnsi="Calibri"/>
                <w:b/>
                <w:color w:val="18324A"/>
                <w:sz w:val="18"/>
              </w:rPr>
              <w:t>Plan</w:t>
            </w:r>
          </w:p>
        </w:tc>
      </w:tr>
      <w:tr>
        <w:tc>
          <w:tcPr>
            <w:tcW w:type="dxa" w:w="1700"/>
          </w:tcPr>
          <w:p>
            <w:pPr>
              <w:spacing w:after="0"/>
            </w:pPr>
            <w:r>
              <w:rPr>
                <w:rFonts w:ascii="Calibri" w:hAnsi="Calibri"/>
                <w:color w:val="1F2937"/>
                <w:sz w:val="17"/>
              </w:rPr>
              <w:t>Goal</w:t>
            </w:r>
          </w:p>
        </w:tc>
        <w:tc>
          <w:tcPr>
            <w:tcW w:type="dxa" w:w="7660"/>
          </w:tcPr>
          <w:p>
            <w:pPr>
              <w:spacing w:after="0"/>
            </w:pPr>
            <w:r>
              <w:rPr>
                <w:rFonts w:ascii="Calibri" w:hAnsi="Calibri"/>
                <w:color w:val="1F2937"/>
                <w:sz w:val="17"/>
              </w:rPr>
              <w:t>Private→completed→validated→crowd→Co-Driver→notification.</w:t>
            </w:r>
          </w:p>
        </w:tc>
      </w:tr>
      <w:tr>
        <w:tc>
          <w:tcPr>
            <w:tcW w:type="dxa" w:w="1700"/>
          </w:tcPr>
          <w:p>
            <w:pPr>
              <w:spacing w:after="0"/>
            </w:pPr>
            <w:r>
              <w:rPr>
                <w:rFonts w:ascii="Calibri" w:hAnsi="Calibri"/>
                <w:color w:val="1F2937"/>
                <w:sz w:val="17"/>
              </w:rPr>
              <w:t>Files modified</w:t>
            </w:r>
          </w:p>
        </w:tc>
        <w:tc>
          <w:tcPr>
            <w:tcW w:type="dxa" w:w="7660"/>
          </w:tcPr>
          <w:p>
            <w:pPr>
              <w:spacing w:after="0"/>
            </w:pPr>
            <w:r>
              <w:rPr>
                <w:rFonts w:ascii="Calibri" w:hAnsi="Calibri"/>
                <w:color w:val="1F2937"/>
                <w:sz w:val="17"/>
              </w:rPr>
              <w:t>domain/intelligence; functions/publication; UI</w:t>
            </w:r>
          </w:p>
        </w:tc>
      </w:tr>
      <w:tr>
        <w:tc>
          <w:tcPr>
            <w:tcW w:type="dxa" w:w="1700"/>
          </w:tcPr>
          <w:p>
            <w:pPr>
              <w:spacing w:after="0"/>
            </w:pPr>
            <w:r>
              <w:rPr>
                <w:rFonts w:ascii="Calibri" w:hAnsi="Calibri"/>
                <w:color w:val="1F2937"/>
                <w:sz w:val="17"/>
              </w:rPr>
              <w:t>Complexity</w:t>
            </w:r>
          </w:p>
        </w:tc>
        <w:tc>
          <w:tcPr>
            <w:tcW w:type="dxa" w:w="7660"/>
          </w:tcPr>
          <w:p>
            <w:pPr>
              <w:spacing w:after="0"/>
            </w:pPr>
            <w:r>
              <w:rPr>
                <w:rFonts w:ascii="Calibri" w:hAnsi="Calibri"/>
                <w:color w:val="1F2937"/>
                <w:sz w:val="17"/>
              </w:rPr>
              <w:t>Very High</w:t>
            </w:r>
          </w:p>
        </w:tc>
      </w:tr>
      <w:tr>
        <w:tc>
          <w:tcPr>
            <w:tcW w:type="dxa" w:w="1700"/>
          </w:tcPr>
          <w:p>
            <w:pPr>
              <w:spacing w:after="0"/>
            </w:pPr>
            <w:r>
              <w:rPr>
                <w:rFonts w:ascii="Calibri" w:hAnsi="Calibri"/>
                <w:color w:val="1F2937"/>
                <w:sz w:val="17"/>
              </w:rPr>
              <w:t>Regression risk</w:t>
            </w:r>
          </w:p>
        </w:tc>
        <w:tc>
          <w:tcPr>
            <w:tcW w:type="dxa" w:w="7660"/>
          </w:tcPr>
          <w:p>
            <w:pPr>
              <w:spacing w:after="0"/>
            </w:pPr>
            <w:r>
              <w:rPr>
                <w:rFonts w:ascii="Calibri" w:hAnsi="Calibri"/>
                <w:color w:val="1F2937"/>
                <w:sz w:val="17"/>
              </w:rPr>
              <w:t>High</w:t>
            </w:r>
          </w:p>
        </w:tc>
      </w:tr>
      <w:tr>
        <w:tc>
          <w:tcPr>
            <w:tcW w:type="dxa" w:w="1700"/>
          </w:tcPr>
          <w:p>
            <w:pPr>
              <w:spacing w:after="0"/>
            </w:pPr>
            <w:r>
              <w:rPr>
                <w:rFonts w:ascii="Calibri" w:hAnsi="Calibri"/>
                <w:color w:val="1F2937"/>
                <w:sz w:val="17"/>
              </w:rPr>
              <w:t>Testing required</w:t>
            </w:r>
          </w:p>
        </w:tc>
        <w:tc>
          <w:tcPr>
            <w:tcW w:type="dxa" w:w="7660"/>
          </w:tcPr>
          <w:p>
            <w:pPr>
              <w:spacing w:after="0"/>
            </w:pPr>
            <w:r>
              <w:rPr>
                <w:rFonts w:ascii="Calibri" w:hAnsi="Calibri"/>
                <w:color w:val="1F2937"/>
                <w:sz w:val="17"/>
              </w:rPr>
              <w:t>Privacy gates, expiry, dedupe, offline delivery.</w:t>
            </w:r>
          </w:p>
        </w:tc>
      </w:tr>
      <w:tr>
        <w:tc>
          <w:tcPr>
            <w:tcW w:type="dxa" w:w="1700"/>
          </w:tcPr>
          <w:p>
            <w:pPr>
              <w:spacing w:after="0"/>
            </w:pPr>
            <w:r>
              <w:rPr>
                <w:rFonts w:ascii="Calibri" w:hAnsi="Calibri"/>
                <w:color w:val="1F2937"/>
                <w:sz w:val="17"/>
              </w:rPr>
              <w:t>Rollback</w:t>
            </w:r>
          </w:p>
        </w:tc>
        <w:tc>
          <w:tcPr>
            <w:tcW w:type="dxa" w:w="7660"/>
          </w:tcPr>
          <w:p>
            <w:pPr>
              <w:spacing w:after="0"/>
            </w:pPr>
            <w:r>
              <w:rPr>
                <w:rFonts w:ascii="Calibri" w:hAnsi="Calibri"/>
                <w:color w:val="1F2937"/>
                <w:sz w:val="17"/>
              </w:rPr>
              <w:t>Publication flag off; retain private items.</w:t>
            </w:r>
          </w:p>
        </w:tc>
      </w:tr>
      <w:tr>
        <w:tc>
          <w:tcPr>
            <w:tcW w:type="dxa" w:w="1700"/>
          </w:tcPr>
          <w:p>
            <w:pPr>
              <w:spacing w:after="0"/>
            </w:pPr>
            <w:r>
              <w:rPr>
                <w:rFonts w:ascii="Calibri" w:hAnsi="Calibri"/>
                <w:color w:val="1F2937"/>
                <w:sz w:val="17"/>
              </w:rPr>
              <w:t>Acceptance criteria</w:t>
            </w:r>
          </w:p>
        </w:tc>
        <w:tc>
          <w:tcPr>
            <w:tcW w:type="dxa" w:w="7660"/>
          </w:tcPr>
          <w:p>
            <w:pPr>
              <w:spacing w:after="0"/>
            </w:pPr>
            <w:r>
              <w:rPr>
                <w:rFonts w:ascii="Calibri" w:hAnsi="Calibri"/>
                <w:color w:val="1F2937"/>
                <w:sz w:val="17"/>
              </w:rPr>
              <w:t>Only validated, meaningful, timely items surface.</w:t>
            </w:r>
          </w:p>
        </w:tc>
      </w:tr>
    </w:tbl>
    <w:p>
      <w:pPr>
        <w:spacing w:after="40"/>
      </w:pPr>
    </w:p>
    <w:p>
      <w:pPr>
        <w:pStyle w:val="Heading2"/>
      </w:pPr>
      <w:r>
        <w:t>M12 Layer 7 evaluation</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trPr>
        <w:tc>
          <w:tcPr>
            <w:tcW w:type="dxa" w:w="1700"/>
            <w:vAlign w:val="top"/>
            <w:tcMar>
              <w:top w:w="80" w:type="dxa"/>
              <w:bottom w:w="80" w:type="dxa"/>
              <w:start w:w="120" w:type="dxa"/>
              <w:end w:w="120" w:type="dxa"/>
            </w:tcMar>
            <w:shd w:fill="F2F4F7"/>
          </w:tcPr>
          <w:p>
            <w:pPr>
              <w:spacing w:after="0"/>
            </w:pPr>
            <w:r>
              <w:rPr>
                <w:rFonts w:ascii="Calibri" w:hAnsi="Calibri"/>
                <w:b/>
                <w:color w:val="18324A"/>
                <w:sz w:val="18"/>
              </w:rPr>
              <w:t>Field</w:t>
            </w:r>
          </w:p>
        </w:tc>
        <w:tc>
          <w:tcPr>
            <w:tcW w:type="dxa" w:w="7660"/>
            <w:vAlign w:val="top"/>
            <w:tcMar>
              <w:top w:w="80" w:type="dxa"/>
              <w:bottom w:w="80" w:type="dxa"/>
              <w:start w:w="120" w:type="dxa"/>
              <w:end w:w="120" w:type="dxa"/>
            </w:tcMar>
            <w:shd w:fill="F2F4F7"/>
          </w:tcPr>
          <w:p>
            <w:pPr>
              <w:spacing w:after="0"/>
            </w:pPr>
            <w:r>
              <w:rPr>
                <w:rFonts w:ascii="Calibri" w:hAnsi="Calibri"/>
                <w:b/>
                <w:color w:val="18324A"/>
                <w:sz w:val="18"/>
              </w:rPr>
              <w:t>Plan</w:t>
            </w:r>
          </w:p>
        </w:tc>
      </w:tr>
      <w:tr>
        <w:tc>
          <w:tcPr>
            <w:tcW w:type="dxa" w:w="1700"/>
          </w:tcPr>
          <w:p>
            <w:pPr>
              <w:spacing w:after="0"/>
            </w:pPr>
            <w:r>
              <w:rPr>
                <w:rFonts w:ascii="Calibri" w:hAnsi="Calibri"/>
                <w:color w:val="1F2937"/>
                <w:sz w:val="17"/>
              </w:rPr>
              <w:t>Goal</w:t>
            </w:r>
          </w:p>
        </w:tc>
        <w:tc>
          <w:tcPr>
            <w:tcW w:type="dxa" w:w="7660"/>
          </w:tcPr>
          <w:p>
            <w:pPr>
              <w:spacing w:after="0"/>
            </w:pPr>
            <w:r>
              <w:rPr>
                <w:rFonts w:ascii="Calibri" w:hAnsi="Calibri"/>
                <w:color w:val="1F2937"/>
                <w:sz w:val="17"/>
              </w:rPr>
              <w:t>Post-outcome recommendation evaluation and post-rally learning queue.</w:t>
            </w:r>
          </w:p>
        </w:tc>
      </w:tr>
      <w:tr>
        <w:tc>
          <w:tcPr>
            <w:tcW w:type="dxa" w:w="1700"/>
          </w:tcPr>
          <w:p>
            <w:pPr>
              <w:spacing w:after="0"/>
            </w:pPr>
            <w:r>
              <w:rPr>
                <w:rFonts w:ascii="Calibri" w:hAnsi="Calibri"/>
                <w:color w:val="1F2937"/>
                <w:sz w:val="17"/>
              </w:rPr>
              <w:t>Files modified</w:t>
            </w:r>
          </w:p>
        </w:tc>
        <w:tc>
          <w:tcPr>
            <w:tcW w:type="dxa" w:w="7660"/>
          </w:tcPr>
          <w:p>
            <w:pPr>
              <w:spacing w:after="0"/>
            </w:pPr>
            <w:r>
              <w:rPr>
                <w:rFonts w:ascii="Calibri" w:hAnsi="Calibri"/>
                <w:color w:val="1F2937"/>
                <w:sz w:val="17"/>
              </w:rPr>
              <w:t>domain/evaluation; functions/evaluation</w:t>
            </w:r>
          </w:p>
        </w:tc>
      </w:tr>
      <w:tr>
        <w:tc>
          <w:tcPr>
            <w:tcW w:type="dxa" w:w="1700"/>
          </w:tcPr>
          <w:p>
            <w:pPr>
              <w:spacing w:after="0"/>
            </w:pPr>
            <w:r>
              <w:rPr>
                <w:rFonts w:ascii="Calibri" w:hAnsi="Calibri"/>
                <w:color w:val="1F2937"/>
                <w:sz w:val="17"/>
              </w:rPr>
              <w:t>Complexity</w:t>
            </w:r>
          </w:p>
        </w:tc>
        <w:tc>
          <w:tcPr>
            <w:tcW w:type="dxa" w:w="7660"/>
          </w:tcPr>
          <w:p>
            <w:pPr>
              <w:spacing w:after="0"/>
            </w:pPr>
            <w:r>
              <w:rPr>
                <w:rFonts w:ascii="Calibri" w:hAnsi="Calibri"/>
                <w:color w:val="1F2937"/>
                <w:sz w:val="17"/>
              </w:rPr>
              <w:t>Very High</w:t>
            </w:r>
          </w:p>
        </w:tc>
      </w:tr>
      <w:tr>
        <w:tc>
          <w:tcPr>
            <w:tcW w:type="dxa" w:w="1700"/>
          </w:tcPr>
          <w:p>
            <w:pPr>
              <w:spacing w:after="0"/>
            </w:pPr>
            <w:r>
              <w:rPr>
                <w:rFonts w:ascii="Calibri" w:hAnsi="Calibri"/>
                <w:color w:val="1F2937"/>
                <w:sz w:val="17"/>
              </w:rPr>
              <w:t>Regression risk</w:t>
            </w:r>
          </w:p>
        </w:tc>
        <w:tc>
          <w:tcPr>
            <w:tcW w:type="dxa" w:w="7660"/>
          </w:tcPr>
          <w:p>
            <w:pPr>
              <w:spacing w:after="0"/>
            </w:pPr>
            <w:r>
              <w:rPr>
                <w:rFonts w:ascii="Calibri" w:hAnsi="Calibri"/>
                <w:color w:val="1F2937"/>
                <w:sz w:val="17"/>
              </w:rPr>
              <w:t>High</w:t>
            </w:r>
          </w:p>
        </w:tc>
      </w:tr>
      <w:tr>
        <w:tc>
          <w:tcPr>
            <w:tcW w:type="dxa" w:w="1700"/>
          </w:tcPr>
          <w:p>
            <w:pPr>
              <w:spacing w:after="0"/>
            </w:pPr>
            <w:r>
              <w:rPr>
                <w:rFonts w:ascii="Calibri" w:hAnsi="Calibri"/>
                <w:color w:val="1F2937"/>
                <w:sz w:val="17"/>
              </w:rPr>
              <w:t>Testing required</w:t>
            </w:r>
          </w:p>
        </w:tc>
        <w:tc>
          <w:tcPr>
            <w:tcW w:type="dxa" w:w="7660"/>
          </w:tcPr>
          <w:p>
            <w:pPr>
              <w:spacing w:after="0"/>
            </w:pPr>
            <w:r>
              <w:rPr>
                <w:rFonts w:ascii="Calibri" w:hAnsi="Calibri"/>
                <w:color w:val="1F2937"/>
                <w:sz w:val="17"/>
              </w:rPr>
              <w:t>Outcome linkage, freeze enforcement, rollback model.</w:t>
            </w:r>
          </w:p>
        </w:tc>
      </w:tr>
      <w:tr>
        <w:tc>
          <w:tcPr>
            <w:tcW w:type="dxa" w:w="1700"/>
          </w:tcPr>
          <w:p>
            <w:pPr>
              <w:spacing w:after="0"/>
            </w:pPr>
            <w:r>
              <w:rPr>
                <w:rFonts w:ascii="Calibri" w:hAnsi="Calibri"/>
                <w:color w:val="1F2937"/>
                <w:sz w:val="17"/>
              </w:rPr>
              <w:t>Rollback</w:t>
            </w:r>
          </w:p>
        </w:tc>
        <w:tc>
          <w:tcPr>
            <w:tcW w:type="dxa" w:w="7660"/>
          </w:tcPr>
          <w:p>
            <w:pPr>
              <w:spacing w:after="0"/>
            </w:pPr>
            <w:r>
              <w:rPr>
                <w:rFonts w:ascii="Calibri" w:hAnsi="Calibri"/>
                <w:color w:val="1F2937"/>
                <w:sz w:val="17"/>
              </w:rPr>
              <w:t>Evaluation read-only; model update flag off.</w:t>
            </w:r>
          </w:p>
        </w:tc>
      </w:tr>
      <w:tr>
        <w:tc>
          <w:tcPr>
            <w:tcW w:type="dxa" w:w="1700"/>
          </w:tcPr>
          <w:p>
            <w:pPr>
              <w:spacing w:after="0"/>
            </w:pPr>
            <w:r>
              <w:rPr>
                <w:rFonts w:ascii="Calibri" w:hAnsi="Calibri"/>
                <w:color w:val="1F2937"/>
                <w:sz w:val="17"/>
              </w:rPr>
              <w:t>Acceptance criteria</w:t>
            </w:r>
          </w:p>
        </w:tc>
        <w:tc>
          <w:tcPr>
            <w:tcW w:type="dxa" w:w="7660"/>
          </w:tcPr>
          <w:p>
            <w:pPr>
              <w:spacing w:after="0"/>
            </w:pPr>
            <w:r>
              <w:rPr>
                <w:rFonts w:ascii="Calibri" w:hAnsi="Calibri"/>
                <w:color w:val="1F2937"/>
                <w:sz w:val="17"/>
              </w:rPr>
              <w:t>No active-rally model mutation; audit complete.</w:t>
            </w:r>
          </w:p>
        </w:tc>
      </w:tr>
    </w:tbl>
    <w:p>
      <w:pPr>
        <w:spacing w:after="40"/>
      </w:pPr>
    </w:p>
    <w:p>
      <w:pPr>
        <w:pStyle w:val="Heading2"/>
      </w:pPr>
      <w:r>
        <w:t>M13 Scale and production hardening</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trPr>
        <w:tc>
          <w:tcPr>
            <w:tcW w:type="dxa" w:w="1700"/>
            <w:vAlign w:val="top"/>
            <w:tcMar>
              <w:top w:w="80" w:type="dxa"/>
              <w:bottom w:w="80" w:type="dxa"/>
              <w:start w:w="120" w:type="dxa"/>
              <w:end w:w="120" w:type="dxa"/>
            </w:tcMar>
            <w:shd w:fill="F2F4F7"/>
          </w:tcPr>
          <w:p>
            <w:pPr>
              <w:spacing w:after="0"/>
            </w:pPr>
            <w:r>
              <w:rPr>
                <w:rFonts w:ascii="Calibri" w:hAnsi="Calibri"/>
                <w:b/>
                <w:color w:val="18324A"/>
                <w:sz w:val="18"/>
              </w:rPr>
              <w:t>Field</w:t>
            </w:r>
          </w:p>
        </w:tc>
        <w:tc>
          <w:tcPr>
            <w:tcW w:type="dxa" w:w="7660"/>
            <w:vAlign w:val="top"/>
            <w:tcMar>
              <w:top w:w="80" w:type="dxa"/>
              <w:bottom w:w="80" w:type="dxa"/>
              <w:start w:w="120" w:type="dxa"/>
              <w:end w:w="120" w:type="dxa"/>
            </w:tcMar>
            <w:shd w:fill="F2F4F7"/>
          </w:tcPr>
          <w:p>
            <w:pPr>
              <w:spacing w:after="0"/>
            </w:pPr>
            <w:r>
              <w:rPr>
                <w:rFonts w:ascii="Calibri" w:hAnsi="Calibri"/>
                <w:b/>
                <w:color w:val="18324A"/>
                <w:sz w:val="18"/>
              </w:rPr>
              <w:t>Plan</w:t>
            </w:r>
          </w:p>
        </w:tc>
      </w:tr>
      <w:tr>
        <w:tc>
          <w:tcPr>
            <w:tcW w:type="dxa" w:w="1700"/>
          </w:tcPr>
          <w:p>
            <w:pPr>
              <w:spacing w:after="0"/>
            </w:pPr>
            <w:r>
              <w:rPr>
                <w:rFonts w:ascii="Calibri" w:hAnsi="Calibri"/>
                <w:color w:val="1F2937"/>
                <w:sz w:val="17"/>
              </w:rPr>
              <w:t>Goal</w:t>
            </w:r>
          </w:p>
        </w:tc>
        <w:tc>
          <w:tcPr>
            <w:tcW w:type="dxa" w:w="7660"/>
          </w:tcPr>
          <w:p>
            <w:pPr>
              <w:spacing w:after="0"/>
            </w:pPr>
            <w:r>
              <w:rPr>
                <w:rFonts w:ascii="Calibri" w:hAnsi="Calibri"/>
                <w:color w:val="1F2937"/>
                <w:sz w:val="17"/>
              </w:rPr>
              <w:t>5000-rider projections, partitioning, operations, recovery.</w:t>
            </w:r>
          </w:p>
        </w:tc>
      </w:tr>
      <w:tr>
        <w:tc>
          <w:tcPr>
            <w:tcW w:type="dxa" w:w="1700"/>
          </w:tcPr>
          <w:p>
            <w:pPr>
              <w:spacing w:after="0"/>
            </w:pPr>
            <w:r>
              <w:rPr>
                <w:rFonts w:ascii="Calibri" w:hAnsi="Calibri"/>
                <w:color w:val="1F2937"/>
                <w:sz w:val="17"/>
              </w:rPr>
              <w:t>Files modified</w:t>
            </w:r>
          </w:p>
        </w:tc>
        <w:tc>
          <w:tcPr>
            <w:tcW w:type="dxa" w:w="7660"/>
          </w:tcPr>
          <w:p>
            <w:pPr>
              <w:spacing w:after="0"/>
            </w:pPr>
            <w:r>
              <w:rPr>
                <w:rFonts w:ascii="Calibri" w:hAnsi="Calibri"/>
                <w:color w:val="1F2937"/>
                <w:sz w:val="17"/>
              </w:rPr>
              <w:t>performance; runbooks; monitoring</w:t>
            </w:r>
          </w:p>
        </w:tc>
      </w:tr>
      <w:tr>
        <w:tc>
          <w:tcPr>
            <w:tcW w:type="dxa" w:w="1700"/>
          </w:tcPr>
          <w:p>
            <w:pPr>
              <w:spacing w:after="0"/>
            </w:pPr>
            <w:r>
              <w:rPr>
                <w:rFonts w:ascii="Calibri" w:hAnsi="Calibri"/>
                <w:color w:val="1F2937"/>
                <w:sz w:val="17"/>
              </w:rPr>
              <w:t>Complexity</w:t>
            </w:r>
          </w:p>
        </w:tc>
        <w:tc>
          <w:tcPr>
            <w:tcW w:type="dxa" w:w="7660"/>
          </w:tcPr>
          <w:p>
            <w:pPr>
              <w:spacing w:after="0"/>
            </w:pPr>
            <w:r>
              <w:rPr>
                <w:rFonts w:ascii="Calibri" w:hAnsi="Calibri"/>
                <w:color w:val="1F2937"/>
                <w:sz w:val="17"/>
              </w:rPr>
              <w:t>Very High</w:t>
            </w:r>
          </w:p>
        </w:tc>
      </w:tr>
      <w:tr>
        <w:tc>
          <w:tcPr>
            <w:tcW w:type="dxa" w:w="1700"/>
          </w:tcPr>
          <w:p>
            <w:pPr>
              <w:spacing w:after="0"/>
            </w:pPr>
            <w:r>
              <w:rPr>
                <w:rFonts w:ascii="Calibri" w:hAnsi="Calibri"/>
                <w:color w:val="1F2937"/>
                <w:sz w:val="17"/>
              </w:rPr>
              <w:t>Regression risk</w:t>
            </w:r>
          </w:p>
        </w:tc>
        <w:tc>
          <w:tcPr>
            <w:tcW w:type="dxa" w:w="7660"/>
          </w:tcPr>
          <w:p>
            <w:pPr>
              <w:spacing w:after="0"/>
            </w:pPr>
            <w:r>
              <w:rPr>
                <w:rFonts w:ascii="Calibri" w:hAnsi="Calibri"/>
                <w:color w:val="1F2937"/>
                <w:sz w:val="17"/>
              </w:rPr>
              <w:t>High</w:t>
            </w:r>
          </w:p>
        </w:tc>
      </w:tr>
      <w:tr>
        <w:tc>
          <w:tcPr>
            <w:tcW w:type="dxa" w:w="1700"/>
          </w:tcPr>
          <w:p>
            <w:pPr>
              <w:spacing w:after="0"/>
            </w:pPr>
            <w:r>
              <w:rPr>
                <w:rFonts w:ascii="Calibri" w:hAnsi="Calibri"/>
                <w:color w:val="1F2937"/>
                <w:sz w:val="17"/>
              </w:rPr>
              <w:t>Testing required</w:t>
            </w:r>
          </w:p>
        </w:tc>
        <w:tc>
          <w:tcPr>
            <w:tcW w:type="dxa" w:w="7660"/>
          </w:tcPr>
          <w:p>
            <w:pPr>
              <w:spacing w:after="0"/>
            </w:pPr>
            <w:r>
              <w:rPr>
                <w:rFonts w:ascii="Calibri" w:hAnsi="Calibri"/>
                <w:color w:val="1F2937"/>
                <w:sz w:val="17"/>
              </w:rPr>
              <w:t>Load, chaos, battery, recovery drills.</w:t>
            </w:r>
          </w:p>
        </w:tc>
      </w:tr>
      <w:tr>
        <w:tc>
          <w:tcPr>
            <w:tcW w:type="dxa" w:w="1700"/>
          </w:tcPr>
          <w:p>
            <w:pPr>
              <w:spacing w:after="0"/>
            </w:pPr>
            <w:r>
              <w:rPr>
                <w:rFonts w:ascii="Calibri" w:hAnsi="Calibri"/>
                <w:color w:val="1F2937"/>
                <w:sz w:val="17"/>
              </w:rPr>
              <w:t>Rollback</w:t>
            </w:r>
          </w:p>
        </w:tc>
        <w:tc>
          <w:tcPr>
            <w:tcW w:type="dxa" w:w="7660"/>
          </w:tcPr>
          <w:p>
            <w:pPr>
              <w:spacing w:after="0"/>
            </w:pPr>
            <w:r>
              <w:rPr>
                <w:rFonts w:ascii="Calibri" w:hAnsi="Calibri"/>
                <w:color w:val="1F2937"/>
                <w:sz w:val="17"/>
              </w:rPr>
              <w:t>Capacity flag/circuit breakers; prior model version.</w:t>
            </w:r>
          </w:p>
        </w:tc>
      </w:tr>
      <w:tr>
        <w:tc>
          <w:tcPr>
            <w:tcW w:type="dxa" w:w="1700"/>
          </w:tcPr>
          <w:p>
            <w:pPr>
              <w:spacing w:after="0"/>
            </w:pPr>
            <w:r>
              <w:rPr>
                <w:rFonts w:ascii="Calibri" w:hAnsi="Calibri"/>
                <w:color w:val="1F2937"/>
                <w:sz w:val="17"/>
              </w:rPr>
              <w:t>Acceptance criteria</w:t>
            </w:r>
          </w:p>
        </w:tc>
        <w:tc>
          <w:tcPr>
            <w:tcW w:type="dxa" w:w="7660"/>
          </w:tcPr>
          <w:p>
            <w:pPr>
              <w:spacing w:after="0"/>
            </w:pPr>
            <w:r>
              <w:rPr>
                <w:rFonts w:ascii="Calibri" w:hAnsi="Calibri"/>
                <w:color w:val="1F2937"/>
                <w:sz w:val="17"/>
              </w:rPr>
              <w:t>SLOs met at approved tier; runbooks rehearsed.</w:t>
            </w:r>
          </w:p>
        </w:tc>
      </w:tr>
    </w:tbl>
    <w:p>
      <w:pPr>
        <w:spacing w:after="40"/>
      </w:pPr>
    </w:p>
    <w:p>
      <w:pPr>
        <w:pStyle w:val="Heading1"/>
      </w:pPr>
      <w:r>
        <w:t>Part 8 — Testing Strategy</w:t>
      </w:r>
    </w:p>
    <w:tbl>
      <w:tblPr>
        <w:tblStyle w:val="TableGrid"/>
        <w:tblW w:type="dxa" w:w="9360"/>
        <w:jc w:val="left"/>
        <w:tblLayout w:type="fixed"/>
        <w:tblLook w:firstColumn="1" w:firstRow="1" w:lastColumn="0" w:lastRow="0" w:noHBand="0" w:noVBand="1" w:val="04A0"/>
        <w:tblInd w:w="120" w:type="dxa"/>
      </w:tblPr>
      <w:tblGrid>
        <w:gridCol w:w="1500"/>
        <w:gridCol w:w="5000"/>
        <w:gridCol w:w="2860"/>
      </w:tblGrid>
      <w:tr>
        <w:trPr>
          <w:tblHeader w:val="true"/>
        </w:trPr>
        <w:tc>
          <w:tcPr>
            <w:tcW w:type="dxa" w:w="1500"/>
            <w:vAlign w:val="top"/>
            <w:tcMar>
              <w:top w:w="80" w:type="dxa"/>
              <w:bottom w:w="80" w:type="dxa"/>
              <w:start w:w="120" w:type="dxa"/>
              <w:end w:w="120" w:type="dxa"/>
            </w:tcMar>
            <w:shd w:fill="F2F4F7"/>
          </w:tcPr>
          <w:p>
            <w:pPr>
              <w:spacing w:after="0"/>
            </w:pPr>
            <w:r>
              <w:rPr>
                <w:rFonts w:ascii="Calibri" w:hAnsi="Calibri"/>
                <w:b/>
                <w:color w:val="18324A"/>
                <w:sz w:val="18"/>
              </w:rPr>
              <w:t>Test layer</w:t>
            </w:r>
          </w:p>
        </w:tc>
        <w:tc>
          <w:tcPr>
            <w:tcW w:type="dxa" w:w="5000"/>
            <w:vAlign w:val="top"/>
            <w:tcMar>
              <w:top w:w="80" w:type="dxa"/>
              <w:bottom w:w="80" w:type="dxa"/>
              <w:start w:w="120" w:type="dxa"/>
              <w:end w:w="120" w:type="dxa"/>
            </w:tcMar>
            <w:shd w:fill="F2F4F7"/>
          </w:tcPr>
          <w:p>
            <w:pPr>
              <w:spacing w:after="0"/>
            </w:pPr>
            <w:r>
              <w:rPr>
                <w:rFonts w:ascii="Calibri" w:hAnsi="Calibri"/>
                <w:b/>
                <w:color w:val="18324A"/>
                <w:sz w:val="18"/>
              </w:rPr>
              <w:t>Coverage</w:t>
            </w:r>
          </w:p>
        </w:tc>
        <w:tc>
          <w:tcPr>
            <w:tcW w:type="dxa" w:w="2860"/>
            <w:vAlign w:val="top"/>
            <w:tcMar>
              <w:top w:w="80" w:type="dxa"/>
              <w:bottom w:w="80" w:type="dxa"/>
              <w:start w:w="120" w:type="dxa"/>
              <w:end w:w="120" w:type="dxa"/>
            </w:tcMar>
            <w:shd w:fill="F2F4F7"/>
          </w:tcPr>
          <w:p>
            <w:pPr>
              <w:spacing w:after="0"/>
            </w:pPr>
            <w:r>
              <w:rPr>
                <w:rFonts w:ascii="Calibri" w:hAnsi="Calibri"/>
                <w:b/>
                <w:color w:val="18324A"/>
                <w:sz w:val="18"/>
              </w:rPr>
              <w:t>Release gate</w:t>
            </w:r>
          </w:p>
        </w:tc>
      </w:tr>
      <w:tr>
        <w:tc>
          <w:tcPr>
            <w:tcW w:type="dxa" w:w="1500"/>
          </w:tcPr>
          <w:p>
            <w:pPr>
              <w:spacing w:after="0"/>
            </w:pPr>
            <w:r>
              <w:rPr>
                <w:rFonts w:ascii="Calibri" w:hAnsi="Calibri"/>
                <w:color w:val="1F2937"/>
                <w:sz w:val="17"/>
              </w:rPr>
              <w:t>Unit</w:t>
            </w:r>
          </w:p>
        </w:tc>
        <w:tc>
          <w:tcPr>
            <w:tcW w:type="dxa" w:w="5000"/>
          </w:tcPr>
          <w:p>
            <w:pPr>
              <w:spacing w:after="0"/>
            </w:pPr>
            <w:r>
              <w:rPr>
                <w:rFonts w:ascii="Calibri" w:hAnsi="Calibri"/>
                <w:color w:val="1F2937"/>
                <w:sz w:val="17"/>
              </w:rPr>
              <w:t>Pure geometry, quality, state machines, confidence dimensions, family/variant statistics, explanations</w:t>
            </w:r>
          </w:p>
        </w:tc>
        <w:tc>
          <w:tcPr>
            <w:tcW w:type="dxa" w:w="2860"/>
          </w:tcPr>
          <w:p>
            <w:pPr>
              <w:spacing w:after="0"/>
            </w:pPr>
            <w:r>
              <w:rPr>
                <w:rFonts w:ascii="Calibri" w:hAnsi="Calibri"/>
                <w:color w:val="1F2937"/>
                <w:sz w:val="17"/>
              </w:rPr>
              <w:t>Deterministic; mutation and boundary coverage.</w:t>
            </w:r>
          </w:p>
        </w:tc>
      </w:tr>
      <w:tr>
        <w:tc>
          <w:tcPr>
            <w:tcW w:type="dxa" w:w="1500"/>
          </w:tcPr>
          <w:p>
            <w:pPr>
              <w:spacing w:after="0"/>
            </w:pPr>
            <w:r>
              <w:rPr>
                <w:rFonts w:ascii="Calibri" w:hAnsi="Calibri"/>
                <w:color w:val="1F2937"/>
                <w:sz w:val="17"/>
              </w:rPr>
              <w:t>Contract</w:t>
            </w:r>
          </w:p>
        </w:tc>
        <w:tc>
          <w:tcPr>
            <w:tcW w:type="dxa" w:w="5000"/>
          </w:tcPr>
          <w:p>
            <w:pPr>
              <w:spacing w:after="0"/>
            </w:pPr>
            <w:r>
              <w:rPr>
                <w:rFonts w:ascii="Calibri" w:hAnsi="Calibri"/>
                <w:color w:val="1F2937"/>
                <w:sz w:val="17"/>
              </w:rPr>
              <w:t>JSON schemas, event envelopes, RTDB projections, APIs, migration versions</w:t>
            </w:r>
          </w:p>
        </w:tc>
        <w:tc>
          <w:tcPr>
            <w:tcW w:type="dxa" w:w="2860"/>
          </w:tcPr>
          <w:p>
            <w:pPr>
              <w:spacing w:after="0"/>
            </w:pPr>
            <w:r>
              <w:rPr>
                <w:rFonts w:ascii="Calibri" w:hAnsi="Calibri"/>
                <w:color w:val="1F2937"/>
                <w:sz w:val="17"/>
              </w:rPr>
              <w:t>Producer/consumer compatibility in CI.</w:t>
            </w:r>
          </w:p>
        </w:tc>
      </w:tr>
      <w:tr>
        <w:tc>
          <w:tcPr>
            <w:tcW w:type="dxa" w:w="1500"/>
          </w:tcPr>
          <w:p>
            <w:pPr>
              <w:spacing w:after="0"/>
            </w:pPr>
            <w:r>
              <w:rPr>
                <w:rFonts w:ascii="Calibri" w:hAnsi="Calibri"/>
                <w:color w:val="1F2937"/>
                <w:sz w:val="17"/>
              </w:rPr>
              <w:t>Integration</w:t>
            </w:r>
          </w:p>
        </w:tc>
        <w:tc>
          <w:tcPr>
            <w:tcW w:type="dxa" w:w="5000"/>
          </w:tcPr>
          <w:p>
            <w:pPr>
              <w:spacing w:after="0"/>
            </w:pPr>
            <w:r>
              <w:rPr>
                <w:rFonts w:ascii="Calibri" w:hAnsi="Calibri"/>
                <w:color w:val="1F2937"/>
                <w:sz w:val="17"/>
              </w:rPr>
              <w:t>IndexedDB transactions/upgrades, outbox, Firebase emulator, Function idempotency</w:t>
            </w:r>
          </w:p>
        </w:tc>
        <w:tc>
          <w:tcPr>
            <w:tcW w:type="dxa" w:w="2860"/>
          </w:tcPr>
          <w:p>
            <w:pPr>
              <w:spacing w:after="0"/>
            </w:pPr>
            <w:r>
              <w:rPr>
                <w:rFonts w:ascii="Calibri" w:hAnsi="Calibri"/>
                <w:color w:val="1F2937"/>
                <w:sz w:val="17"/>
              </w:rPr>
              <w:t>Crash/retry/replay fixtures pass.</w:t>
            </w:r>
          </w:p>
        </w:tc>
      </w:tr>
      <w:tr>
        <w:tc>
          <w:tcPr>
            <w:tcW w:type="dxa" w:w="1500"/>
          </w:tcPr>
          <w:p>
            <w:pPr>
              <w:spacing w:after="0"/>
            </w:pPr>
            <w:r>
              <w:rPr>
                <w:rFonts w:ascii="Calibri" w:hAnsi="Calibri"/>
                <w:color w:val="1F2937"/>
                <w:sz w:val="17"/>
              </w:rPr>
              <w:t>Browser regression</w:t>
            </w:r>
          </w:p>
        </w:tc>
        <w:tc>
          <w:tcPr>
            <w:tcW w:type="dxa" w:w="5000"/>
          </w:tcPr>
          <w:p>
            <w:pPr>
              <w:spacing w:after="0"/>
            </w:pPr>
            <w:r>
              <w:rPr>
                <w:rFonts w:ascii="Calibri" w:hAnsi="Calibri"/>
                <w:color w:val="1F2937"/>
                <w:sz w:val="17"/>
              </w:rPr>
              <w:t>Planner, Rally, Rider Manager, imports/exports, stationary events, startup</w:t>
            </w:r>
          </w:p>
        </w:tc>
        <w:tc>
          <w:tcPr>
            <w:tcW w:type="dxa" w:w="2860"/>
          </w:tcPr>
          <w:p>
            <w:pPr>
              <w:spacing w:after="0"/>
            </w:pPr>
            <w:r>
              <w:rPr>
                <w:rFonts w:ascii="Calibri" w:hAnsi="Calibri"/>
                <w:color w:val="1F2937"/>
                <w:sz w:val="17"/>
              </w:rPr>
              <w:t>Authoritative serial matrix remains green.</w:t>
            </w:r>
          </w:p>
        </w:tc>
      </w:tr>
      <w:tr>
        <w:tc>
          <w:tcPr>
            <w:tcW w:type="dxa" w:w="1500"/>
          </w:tcPr>
          <w:p>
            <w:pPr>
              <w:spacing w:after="0"/>
            </w:pPr>
            <w:r>
              <w:rPr>
                <w:rFonts w:ascii="Calibri" w:hAnsi="Calibri"/>
                <w:color w:val="1F2937"/>
                <w:sz w:val="17"/>
              </w:rPr>
              <w:t>Offline</w:t>
            </w:r>
          </w:p>
        </w:tc>
        <w:tc>
          <w:tcPr>
            <w:tcW w:type="dxa" w:w="5000"/>
          </w:tcPr>
          <w:p>
            <w:pPr>
              <w:spacing w:after="0"/>
            </w:pPr>
            <w:r>
              <w:rPr>
                <w:rFonts w:ascii="Calibri" w:hAnsi="Calibri"/>
                <w:color w:val="1F2937"/>
                <w:sz w:val="17"/>
              </w:rPr>
              <w:t>Cold cached start, foreground reconnect, optional Background Sync, partial sync, clock skew</w:t>
            </w:r>
          </w:p>
        </w:tc>
        <w:tc>
          <w:tcPr>
            <w:tcW w:type="dxa" w:w="2860"/>
          </w:tcPr>
          <w:p>
            <w:pPr>
              <w:spacing w:after="0"/>
            </w:pPr>
            <w:r>
              <w:rPr>
                <w:rFonts w:ascii="Calibri" w:hAnsi="Calibri"/>
                <w:color w:val="1F2937"/>
                <w:sz w:val="17"/>
              </w:rPr>
              <w:t>No data loss; UI labels staleness.</w:t>
            </w:r>
          </w:p>
        </w:tc>
      </w:tr>
      <w:tr>
        <w:tc>
          <w:tcPr>
            <w:tcW w:type="dxa" w:w="1500"/>
          </w:tcPr>
          <w:p>
            <w:pPr>
              <w:spacing w:after="0"/>
            </w:pPr>
            <w:r>
              <w:rPr>
                <w:rFonts w:ascii="Calibri" w:hAnsi="Calibri"/>
                <w:color w:val="1F2937"/>
                <w:sz w:val="17"/>
              </w:rPr>
              <w:t>Sync/chaos</w:t>
            </w:r>
          </w:p>
        </w:tc>
        <w:tc>
          <w:tcPr>
            <w:tcW w:type="dxa" w:w="5000"/>
          </w:tcPr>
          <w:p>
            <w:pPr>
              <w:spacing w:after="0"/>
            </w:pPr>
            <w:r>
              <w:rPr>
                <w:rFonts w:ascii="Calibri" w:hAnsi="Calibri"/>
                <w:color w:val="1F2937"/>
                <w:sz w:val="17"/>
              </w:rPr>
              <w:t>Duplicate, reorder, timeout, auth expiry, quota, partial Function failure</w:t>
            </w:r>
          </w:p>
        </w:tc>
        <w:tc>
          <w:tcPr>
            <w:tcW w:type="dxa" w:w="2860"/>
          </w:tcPr>
          <w:p>
            <w:pPr>
              <w:spacing w:after="0"/>
            </w:pPr>
            <w:r>
              <w:rPr>
                <w:rFonts w:ascii="Calibri" w:hAnsi="Calibri"/>
                <w:color w:val="1F2937"/>
                <w:sz w:val="17"/>
              </w:rPr>
              <w:t>Converges to one idempotent result.</w:t>
            </w:r>
          </w:p>
        </w:tc>
      </w:tr>
      <w:tr>
        <w:tc>
          <w:tcPr>
            <w:tcW w:type="dxa" w:w="1500"/>
          </w:tcPr>
          <w:p>
            <w:pPr>
              <w:spacing w:after="0"/>
            </w:pPr>
            <w:r>
              <w:rPr>
                <w:rFonts w:ascii="Calibri" w:hAnsi="Calibri"/>
                <w:color w:val="1F2937"/>
                <w:sz w:val="17"/>
              </w:rPr>
              <w:t>Performance</w:t>
            </w:r>
          </w:p>
        </w:tc>
        <w:tc>
          <w:tcPr>
            <w:tcW w:type="dxa" w:w="5000"/>
          </w:tcPr>
          <w:p>
            <w:pPr>
              <w:spacing w:after="0"/>
            </w:pPr>
            <w:r>
              <w:rPr>
                <w:rFonts w:ascii="Calibri" w:hAnsi="Calibri"/>
                <w:color w:val="1F2937"/>
                <w:sz w:val="17"/>
              </w:rPr>
              <w:t>100/500/1000/5000 riders; 1k/10k/100k observations; map pan/zoom</w:t>
            </w:r>
          </w:p>
        </w:tc>
        <w:tc>
          <w:tcPr>
            <w:tcW w:type="dxa" w:w="2860"/>
          </w:tcPr>
          <w:p>
            <w:pPr>
              <w:spacing w:after="0"/>
            </w:pPr>
            <w:r>
              <w:rPr>
                <w:rFonts w:ascii="Calibri" w:hAnsi="Calibri"/>
                <w:color w:val="1F2937"/>
                <w:sz w:val="17"/>
              </w:rPr>
              <w:t>Tier-specific budgets below.</w:t>
            </w:r>
          </w:p>
        </w:tc>
      </w:tr>
      <w:tr>
        <w:tc>
          <w:tcPr>
            <w:tcW w:type="dxa" w:w="1500"/>
          </w:tcPr>
          <w:p>
            <w:pPr>
              <w:spacing w:after="0"/>
            </w:pPr>
            <w:r>
              <w:rPr>
                <w:rFonts w:ascii="Calibri" w:hAnsi="Calibri"/>
                <w:color w:val="1F2937"/>
                <w:sz w:val="17"/>
              </w:rPr>
              <w:t>Security/privacy</w:t>
            </w:r>
          </w:p>
        </w:tc>
        <w:tc>
          <w:tcPr>
            <w:tcW w:type="dxa" w:w="5000"/>
          </w:tcPr>
          <w:p>
            <w:pPr>
              <w:spacing w:after="0"/>
            </w:pPr>
            <w:r>
              <w:rPr>
                <w:rFonts w:ascii="Calibri" w:hAnsi="Calibri"/>
                <w:color w:val="1F2937"/>
                <w:sz w:val="17"/>
              </w:rPr>
              <w:t>Rules emulator, schema fuzzing, rate limits, cross-user reads, export/delete</w:t>
            </w:r>
          </w:p>
        </w:tc>
        <w:tc>
          <w:tcPr>
            <w:tcW w:type="dxa" w:w="2860"/>
          </w:tcPr>
          <w:p>
            <w:pPr>
              <w:spacing w:after="0"/>
            </w:pPr>
            <w:r>
              <w:rPr>
                <w:rFonts w:ascii="Calibri" w:hAnsi="Calibri"/>
                <w:color w:val="1F2937"/>
                <w:sz w:val="17"/>
              </w:rPr>
              <w:t>Zero unauthorized reads/writes.</w:t>
            </w:r>
          </w:p>
        </w:tc>
      </w:tr>
      <w:tr>
        <w:tc>
          <w:tcPr>
            <w:tcW w:type="dxa" w:w="1500"/>
          </w:tcPr>
          <w:p>
            <w:pPr>
              <w:spacing w:after="0"/>
            </w:pPr>
            <w:r>
              <w:rPr>
                <w:rFonts w:ascii="Calibri" w:hAnsi="Calibri"/>
                <w:color w:val="1F2937"/>
                <w:sz w:val="17"/>
              </w:rPr>
              <w:t>Evaluation</w:t>
            </w:r>
          </w:p>
        </w:tc>
        <w:tc>
          <w:tcPr>
            <w:tcW w:type="dxa" w:w="5000"/>
          </w:tcPr>
          <w:p>
            <w:pPr>
              <w:spacing w:after="0"/>
            </w:pPr>
            <w:r>
              <w:rPr>
                <w:rFonts w:ascii="Calibri" w:hAnsi="Calibri"/>
                <w:color w:val="1F2937"/>
                <w:sz w:val="17"/>
              </w:rPr>
              <w:t>Recommendation/outcome linkage, calibration, active-rally freeze</w:t>
            </w:r>
          </w:p>
        </w:tc>
        <w:tc>
          <w:tcPr>
            <w:tcW w:type="dxa" w:w="2860"/>
          </w:tcPr>
          <w:p>
            <w:pPr>
              <w:spacing w:after="0"/>
            </w:pPr>
            <w:r>
              <w:rPr>
                <w:rFonts w:ascii="Calibri" w:hAnsi="Calibri"/>
                <w:color w:val="1F2937"/>
                <w:sz w:val="17"/>
              </w:rPr>
              <w:t>No learning mutation while active.</w:t>
            </w:r>
          </w:p>
        </w:tc>
      </w:tr>
    </w:tbl>
    <w:p>
      <w:pPr>
        <w:spacing w:after="40"/>
      </w:pPr>
    </w:p>
    <w:p>
      <w:pPr>
        <w:pStyle w:val="Heading2"/>
      </w:pPr>
      <w:r>
        <w:t>8.1 Required test fixtures</w:t>
      </w:r>
    </w:p>
    <w:p>
      <w:pPr>
        <w:pStyle w:val="ListBullet"/>
        <w:ind w:left="720" w:hanging="360"/>
      </w:pPr>
      <w:r>
        <w:t>Recorded but anonymized observation sequences: stationary, highway, urban traffic, GPS dropout, checkpoint miss, U-turn, and route divergence.</w:t>
      </w:r>
    </w:p>
    <w:p>
      <w:pPr>
        <w:pStyle w:val="ListBullet"/>
        <w:ind w:left="720" w:hanging="360"/>
      </w:pPr>
      <w:r>
        <w:t>Family evolution cases: new variant, borderline provisional, merge, split, supersede, historical replay.</w:t>
      </w:r>
    </w:p>
    <w:p>
      <w:pPr>
        <w:pStyle w:val="ListBullet"/>
        <w:ind w:left="720" w:hanging="360"/>
      </w:pPr>
      <w:r>
        <w:t>Confidence vectors with independent changes: fresh/weak, old/stable, strong/low-quality, high-quality/sparse.</w:t>
      </w:r>
    </w:p>
    <w:p>
      <w:pPr>
        <w:pStyle w:val="ListBullet"/>
        <w:ind w:left="720" w:hanging="360"/>
      </w:pPr>
      <w:r>
        <w:t>Publication cases covering every rejection reason and notification dedupe/expiry.</w:t>
      </w:r>
    </w:p>
    <w:p>
      <w:pPr>
        <w:pStyle w:val="ListBullet"/>
        <w:ind w:left="720" w:hanging="360"/>
      </w:pPr>
      <w:r>
        <w:t>Model-freeze cases spanning rally start/end boundaries and delayed outcomes.</w:t>
      </w:r>
    </w:p>
    <w:p>
      <w:pPr>
        <w:pStyle w:val="Heading1"/>
      </w:pPr>
      <w:r>
        <w:t>Part 9 — Performance and Scalability</w:t>
      </w:r>
    </w:p>
    <w:tbl>
      <w:tblPr>
        <w:tblStyle w:val="TableGrid"/>
        <w:tblW w:type="dxa" w:w="9360"/>
        <w:jc w:val="left"/>
        <w:tblLayout w:type="fixed"/>
        <w:tblLook w:firstColumn="1" w:firstRow="1" w:lastColumn="0" w:lastRow="0" w:noHBand="0" w:noVBand="1" w:val="04A0"/>
        <w:tblInd w:w="120" w:type="dxa"/>
      </w:tblPr>
      <w:tblGrid>
        <w:gridCol w:w="1200"/>
        <w:gridCol w:w="3000"/>
        <w:gridCol w:w="3000"/>
        <w:gridCol w:w="2160"/>
      </w:tblGrid>
      <w:tr>
        <w:trPr>
          <w:tblHeader w:val="true"/>
        </w:trPr>
        <w:tc>
          <w:tcPr>
            <w:tcW w:type="dxa" w:w="1200"/>
            <w:vAlign w:val="top"/>
            <w:tcMar>
              <w:top w:w="80" w:type="dxa"/>
              <w:bottom w:w="80" w:type="dxa"/>
              <w:start w:w="120" w:type="dxa"/>
              <w:end w:w="120" w:type="dxa"/>
            </w:tcMar>
            <w:shd w:fill="F2F4F7"/>
          </w:tcPr>
          <w:p>
            <w:pPr>
              <w:spacing w:after="0"/>
            </w:pPr>
            <w:r>
              <w:rPr>
                <w:rFonts w:ascii="Calibri" w:hAnsi="Calibri"/>
                <w:b/>
                <w:color w:val="18324A"/>
                <w:sz w:val="18"/>
              </w:rPr>
              <w:t>Scale tier</w:t>
            </w:r>
          </w:p>
        </w:tc>
        <w:tc>
          <w:tcPr>
            <w:tcW w:type="dxa" w:w="3000"/>
            <w:vAlign w:val="top"/>
            <w:tcMar>
              <w:top w:w="80" w:type="dxa"/>
              <w:bottom w:w="80" w:type="dxa"/>
              <w:start w:w="120" w:type="dxa"/>
              <w:end w:w="120" w:type="dxa"/>
            </w:tcMar>
            <w:shd w:fill="F2F4F7"/>
          </w:tcPr>
          <w:p>
            <w:pPr>
              <w:spacing w:after="0"/>
            </w:pPr>
            <w:r>
              <w:rPr>
                <w:rFonts w:ascii="Calibri" w:hAnsi="Calibri"/>
                <w:b/>
                <w:color w:val="18324A"/>
                <w:sz w:val="18"/>
              </w:rPr>
              <w:t>Client strategy</w:t>
            </w:r>
          </w:p>
        </w:tc>
        <w:tc>
          <w:tcPr>
            <w:tcW w:type="dxa" w:w="3000"/>
            <w:vAlign w:val="top"/>
            <w:tcMar>
              <w:top w:w="80" w:type="dxa"/>
              <w:bottom w:w="80" w:type="dxa"/>
              <w:start w:w="120" w:type="dxa"/>
              <w:end w:w="120" w:type="dxa"/>
            </w:tcMar>
            <w:shd w:fill="F2F4F7"/>
          </w:tcPr>
          <w:p>
            <w:pPr>
              <w:spacing w:after="0"/>
            </w:pPr>
            <w:r>
              <w:rPr>
                <w:rFonts w:ascii="Calibri" w:hAnsi="Calibri"/>
                <w:b/>
                <w:color w:val="18324A"/>
                <w:sz w:val="18"/>
              </w:rPr>
              <w:t>Server/data strategy</w:t>
            </w:r>
          </w:p>
        </w:tc>
        <w:tc>
          <w:tcPr>
            <w:tcW w:type="dxa" w:w="2160"/>
            <w:vAlign w:val="top"/>
            <w:tcMar>
              <w:top w:w="80" w:type="dxa"/>
              <w:bottom w:w="80" w:type="dxa"/>
              <w:start w:w="120" w:type="dxa"/>
              <w:end w:w="120" w:type="dxa"/>
            </w:tcMar>
            <w:shd w:fill="F2F4F7"/>
          </w:tcPr>
          <w:p>
            <w:pPr>
              <w:spacing w:after="0"/>
            </w:pPr>
            <w:r>
              <w:rPr>
                <w:rFonts w:ascii="Calibri" w:hAnsi="Calibri"/>
                <w:b/>
                <w:color w:val="18324A"/>
                <w:sz w:val="18"/>
              </w:rPr>
              <w:t>Gate</w:t>
            </w:r>
          </w:p>
        </w:tc>
      </w:tr>
      <w:tr>
        <w:tc>
          <w:tcPr>
            <w:tcW w:type="dxa" w:w="1200"/>
          </w:tcPr>
          <w:p>
            <w:pPr>
              <w:spacing w:after="0"/>
            </w:pPr>
            <w:r>
              <w:rPr>
                <w:rFonts w:ascii="Calibri" w:hAnsi="Calibri"/>
                <w:color w:val="1F2937"/>
                <w:sz w:val="17"/>
              </w:rPr>
              <w:t>100 riders</w:t>
            </w:r>
          </w:p>
        </w:tc>
        <w:tc>
          <w:tcPr>
            <w:tcW w:type="dxa" w:w="3000"/>
          </w:tcPr>
          <w:p>
            <w:pPr>
              <w:spacing w:after="0"/>
            </w:pPr>
            <w:r>
              <w:rPr>
                <w:rFonts w:ascii="Calibri" w:hAnsi="Calibri"/>
                <w:color w:val="1F2937"/>
                <w:sz w:val="17"/>
              </w:rPr>
              <w:t>All current markers; incremental updates; 5–15 min local trail window</w:t>
            </w:r>
          </w:p>
        </w:tc>
        <w:tc>
          <w:tcPr>
            <w:tcW w:type="dxa" w:w="3000"/>
          </w:tcPr>
          <w:p>
            <w:pPr>
              <w:spacing w:after="0"/>
            </w:pPr>
            <w:r>
              <w:rPr>
                <w:rFonts w:ascii="Calibri" w:hAnsi="Calibri"/>
                <w:color w:val="1F2937"/>
                <w:sz w:val="17"/>
              </w:rPr>
              <w:t>Single event shard; direct public projection</w:t>
            </w:r>
          </w:p>
        </w:tc>
        <w:tc>
          <w:tcPr>
            <w:tcW w:type="dxa" w:w="2160"/>
          </w:tcPr>
          <w:p>
            <w:pPr>
              <w:spacing w:after="0"/>
            </w:pPr>
            <w:r>
              <w:rPr>
                <w:rFonts w:ascii="Calibri" w:hAnsi="Calibri"/>
                <w:color w:val="1F2937"/>
                <w:sz w:val="17"/>
              </w:rPr>
              <w:t>60 fps median; &lt;300 ms UI event.</w:t>
            </w:r>
          </w:p>
        </w:tc>
      </w:tr>
      <w:tr>
        <w:tc>
          <w:tcPr>
            <w:tcW w:type="dxa" w:w="1200"/>
          </w:tcPr>
          <w:p>
            <w:pPr>
              <w:spacing w:after="0"/>
            </w:pPr>
            <w:r>
              <w:rPr>
                <w:rFonts w:ascii="Calibri" w:hAnsi="Calibri"/>
                <w:color w:val="1F2937"/>
                <w:sz w:val="17"/>
              </w:rPr>
              <w:t>500 riders</w:t>
            </w:r>
          </w:p>
        </w:tc>
        <w:tc>
          <w:tcPr>
            <w:tcW w:type="dxa" w:w="3000"/>
          </w:tcPr>
          <w:p>
            <w:pPr>
              <w:spacing w:after="0"/>
            </w:pPr>
            <w:r>
              <w:rPr>
                <w:rFonts w:ascii="Calibri" w:hAnsi="Calibri"/>
                <w:color w:val="1F2937"/>
                <w:sz w:val="17"/>
              </w:rPr>
              <w:t>Viewport culling; canvas markers; coalesced 1 Hz UI updates</w:t>
            </w:r>
          </w:p>
        </w:tc>
        <w:tc>
          <w:tcPr>
            <w:tcW w:type="dxa" w:w="3000"/>
          </w:tcPr>
          <w:p>
            <w:pPr>
              <w:spacing w:after="0"/>
            </w:pPr>
            <w:r>
              <w:rPr>
                <w:rFonts w:ascii="Calibri" w:hAnsi="Calibri"/>
                <w:color w:val="1F2937"/>
                <w:sz w:val="17"/>
              </w:rPr>
              <w:t>Partition by event and projection type</w:t>
            </w:r>
          </w:p>
        </w:tc>
        <w:tc>
          <w:tcPr>
            <w:tcW w:type="dxa" w:w="2160"/>
          </w:tcPr>
          <w:p>
            <w:pPr>
              <w:spacing w:after="0"/>
            </w:pPr>
            <w:r>
              <w:rPr>
                <w:rFonts w:ascii="Calibri" w:hAnsi="Calibri"/>
                <w:color w:val="1F2937"/>
                <w:sz w:val="17"/>
              </w:rPr>
              <w:t>&lt;150 MB working set; no long task &gt;50 ms p95.</w:t>
            </w:r>
          </w:p>
        </w:tc>
      </w:tr>
      <w:tr>
        <w:tc>
          <w:tcPr>
            <w:tcW w:type="dxa" w:w="1200"/>
          </w:tcPr>
          <w:p>
            <w:pPr>
              <w:spacing w:after="0"/>
            </w:pPr>
            <w:r>
              <w:rPr>
                <w:rFonts w:ascii="Calibri" w:hAnsi="Calibri"/>
                <w:color w:val="1F2937"/>
                <w:sz w:val="17"/>
              </w:rPr>
              <w:t>1,000 riders</w:t>
            </w:r>
          </w:p>
        </w:tc>
        <w:tc>
          <w:tcPr>
            <w:tcW w:type="dxa" w:w="3000"/>
          </w:tcPr>
          <w:p>
            <w:pPr>
              <w:spacing w:after="0"/>
            </w:pPr>
            <w:r>
              <w:rPr>
                <w:rFonts w:ascii="Calibri" w:hAnsi="Calibri"/>
                <w:color w:val="1F2937"/>
                <w:sz w:val="17"/>
              </w:rPr>
              <w:t>LOD summaries; selected trails only; worker statistics</w:t>
            </w:r>
          </w:p>
        </w:tc>
        <w:tc>
          <w:tcPr>
            <w:tcW w:type="dxa" w:w="3000"/>
          </w:tcPr>
          <w:p>
            <w:pPr>
              <w:spacing w:after="0"/>
            </w:pPr>
            <w:r>
              <w:rPr>
                <w:rFonts w:ascii="Calibri" w:hAnsi="Calibri"/>
                <w:color w:val="1F2937"/>
                <w:sz w:val="17"/>
              </w:rPr>
              <w:t>Event+region buckets; queued aggregation</w:t>
            </w:r>
          </w:p>
        </w:tc>
        <w:tc>
          <w:tcPr>
            <w:tcW w:type="dxa" w:w="2160"/>
          </w:tcPr>
          <w:p>
            <w:pPr>
              <w:spacing w:after="0"/>
            </w:pPr>
            <w:r>
              <w:rPr>
                <w:rFonts w:ascii="Calibri" w:hAnsi="Calibri"/>
                <w:color w:val="1F2937"/>
                <w:sz w:val="17"/>
              </w:rPr>
              <w:t>Initial usable map &lt;3 s on target phone.</w:t>
            </w:r>
          </w:p>
        </w:tc>
      </w:tr>
      <w:tr>
        <w:tc>
          <w:tcPr>
            <w:tcW w:type="dxa" w:w="1200"/>
          </w:tcPr>
          <w:p>
            <w:pPr>
              <w:spacing w:after="0"/>
            </w:pPr>
            <w:r>
              <w:rPr>
                <w:rFonts w:ascii="Calibri" w:hAnsi="Calibri"/>
                <w:color w:val="1F2937"/>
                <w:sz w:val="17"/>
              </w:rPr>
              <w:t>5,000 riders</w:t>
            </w:r>
          </w:p>
        </w:tc>
        <w:tc>
          <w:tcPr>
            <w:tcW w:type="dxa" w:w="3000"/>
          </w:tcPr>
          <w:p>
            <w:pPr>
              <w:spacing w:after="0"/>
            </w:pPr>
            <w:r>
              <w:rPr>
                <w:rFonts w:ascii="Calibri" w:hAnsi="Calibri"/>
                <w:color w:val="1F2937"/>
                <w:sz w:val="17"/>
              </w:rPr>
              <w:t>Do not render all entities; tile/grid summaries and subscription windows</w:t>
            </w:r>
          </w:p>
        </w:tc>
        <w:tc>
          <w:tcPr>
            <w:tcW w:type="dxa" w:w="3000"/>
          </w:tcPr>
          <w:p>
            <w:pPr>
              <w:spacing w:after="0"/>
            </w:pPr>
            <w:r>
              <w:rPr>
                <w:rFonts w:ascii="Calibri" w:hAnsi="Calibri"/>
                <w:color w:val="1F2937"/>
                <w:sz w:val="17"/>
              </w:rPr>
              <w:t>Mandatory sharding, fan-out projections, backpressure</w:t>
            </w:r>
          </w:p>
        </w:tc>
        <w:tc>
          <w:tcPr>
            <w:tcW w:type="dxa" w:w="2160"/>
          </w:tcPr>
          <w:p>
            <w:pPr>
              <w:spacing w:after="0"/>
            </w:pPr>
            <w:r>
              <w:rPr>
                <w:rFonts w:ascii="Calibri" w:hAnsi="Calibri"/>
                <w:color w:val="1F2937"/>
                <w:sz w:val="17"/>
              </w:rPr>
              <w:t>Load test only until field need approved; graceful degradation.</w:t>
            </w:r>
          </w:p>
        </w:tc>
      </w:tr>
    </w:tbl>
    <w:p>
      <w:pPr>
        <w:spacing w:after="40"/>
      </w:pPr>
    </w:p>
    <w:p>
      <w:pPr>
        <w:pStyle w:val="Heading2"/>
      </w:pPr>
      <w:r>
        <w:t>9.1 Resource budgets</w:t>
      </w:r>
    </w:p>
    <w:p>
      <w:pPr>
        <w:pStyle w:val="ListBullet"/>
        <w:ind w:left="720" w:hanging="360"/>
      </w:pPr>
      <w:r>
        <w:t>Memory: cap per-rider in-memory breadcrumbs; page historical data from IndexedDB; release Leaflet layers and listeners deterministically.</w:t>
      </w:r>
    </w:p>
    <w:p>
      <w:pPr>
        <w:pStyle w:val="ListBullet"/>
        <w:ind w:left="720" w:hanging="360"/>
      </w:pPr>
      <w:r>
        <w:t>CPU: batch observation calculations; move replay/statistics to Web Worker after profiling proves need; avoid JSON deep clones on hot paths.</w:t>
      </w:r>
    </w:p>
    <w:p>
      <w:pPr>
        <w:pStyle w:val="ListBullet"/>
        <w:ind w:left="720" w:hanging="360"/>
      </w:pPr>
      <w:r>
        <w:t>Network: delta cursors, ETags, compact projections, subscription scope, and exponential backoff; never sync unchanged family revisions.</w:t>
      </w:r>
    </w:p>
    <w:p>
      <w:pPr>
        <w:pStyle w:val="ListBullet"/>
        <w:ind w:left="720" w:hanging="360"/>
      </w:pPr>
      <w:r>
        <w:t>Battery: adaptive sampling by movement/device state; pause nonessential evaluation in background; no high-frequency polling.</w:t>
      </w:r>
    </w:p>
    <w:p>
      <w:pPr>
        <w:pStyle w:val="ListBullet"/>
        <w:ind w:left="720" w:hanging="360"/>
      </w:pPr>
      <w:r>
        <w:t>Storage: retention policies by store; preserve auditable server evidence while compacting local derived caches.</w:t>
      </w:r>
    </w:p>
    <w:p>
      <w:pPr>
        <w:pStyle w:val="ListBullet"/>
        <w:ind w:left="720" w:hanging="360"/>
      </w:pPr>
      <w:r>
        <w:t>Measure on representative iPhone hardware, not desktop emulation alone.</w:t>
      </w:r>
    </w:p>
    <w:p>
      <w:pPr>
        <w:pStyle w:val="Heading1"/>
      </w:pPr>
      <w:r>
        <w:t>Part 10 — Security and Privacy</w:t>
      </w:r>
    </w:p>
    <w:p>
      <w:pPr>
        <w:pStyle w:val="Heading2"/>
      </w:pPr>
      <w:r>
        <w:t>10.1 Firebase Rules principles</w:t>
      </w:r>
    </w:p>
    <w:p>
      <w:pPr>
        <w:pStyle w:val="ListBullet"/>
        <w:ind w:left="720" w:hanging="360"/>
      </w:pPr>
      <w:r>
        <w:t>Default deny. Validate event membership, uid ownership, schemaVersion, allowed keys, numeric bounds, timestamp skew, and record immutability.</w:t>
      </w:r>
    </w:p>
    <w:p>
      <w:pPr>
        <w:pStyle w:val="ListBullet"/>
        <w:ind w:left="720" w:hanging="360"/>
      </w:pPr>
      <w:r>
        <w:t>Clients write only observationIngress under their uid, acknowledgements, and their Intelligence Network.</w:t>
      </w:r>
    </w:p>
    <w:p>
      <w:pPr>
        <w:pStyle w:val="ListBullet"/>
        <w:ind w:left="720" w:hanging="360"/>
      </w:pPr>
      <w:r>
        <w:t>Only Admin SDK writes validated observations, evidence, Route DNA, crowd intelligence, evaluations, and public projections.</w:t>
      </w:r>
    </w:p>
    <w:p>
      <w:pPr>
        <w:pStyle w:val="ListBullet"/>
        <w:ind w:left="720" w:hanging="360"/>
      </w:pPr>
      <w:r>
        <w:t>Public readers receive anonymized aggregates with k-anonymity/minimum-evidence thresholds; never raw rider histories.</w:t>
      </w:r>
    </w:p>
    <w:p>
      <w:pPr>
        <w:pStyle w:val="ListBullet"/>
        <w:ind w:left="720" w:hanging="360"/>
      </w:pPr>
      <w:r>
        <w:t>Rules and Functions share generated schema constants but are tested independently in the Emulator Suite.</w:t>
      </w:r>
    </w:p>
    <w:p>
      <w:pPr>
        <w:pStyle w:val="Heading2"/>
      </w:pPr>
      <w:r>
        <w:t>10.2 Authentication and abuse prevention</w:t>
      </w:r>
    </w:p>
    <w:p>
      <w:pPr>
        <w:pStyle w:val="ListBullet"/>
        <w:ind w:left="720" w:hanging="360"/>
      </w:pPr>
      <w:r>
        <w:t>Support anonymous auth for low-friction local use; require account linking for cross-device recovery, export, or durable network membership.</w:t>
      </w:r>
    </w:p>
    <w:p>
      <w:pPr>
        <w:pStyle w:val="ListBullet"/>
        <w:ind w:left="720" w:hanging="360"/>
      </w:pPr>
      <w:r>
        <w:t>Use App Check, per-uid/event quotas, request-size limits, monotonic device sequence checks, and idempotency keys.</w:t>
      </w:r>
    </w:p>
    <w:p>
      <w:pPr>
        <w:pStyle w:val="ListBullet"/>
        <w:ind w:left="720" w:hanging="360"/>
      </w:pPr>
      <w:r>
        <w:t>Reject impossible coordinates/speeds and quarantine suspicious streams; do not silently delete evidence.</w:t>
      </w:r>
    </w:p>
    <w:p>
      <w:pPr>
        <w:pStyle w:val="ListBullet"/>
        <w:ind w:left="720" w:hanging="360"/>
      </w:pPr>
      <w:r>
        <w:t>Rate-limit notification acknowledgements, privacy operations, and administrative replay.</w:t>
      </w:r>
    </w:p>
    <w:p>
      <w:pPr>
        <w:pStyle w:val="Heading2"/>
      </w:pPr>
      <w:r>
        <w:t>10.3 Privacy</w:t>
      </w:r>
    </w:p>
    <w:p>
      <w:pPr>
        <w:pStyle w:val="ListBullet"/>
        <w:ind w:left="720" w:hanging="360"/>
      </w:pPr>
      <w:r>
        <w:t>Use event-scoped pseudonymous rider IDs in analytical stores; keep identity mapping in a restricted boundary.</w:t>
      </w:r>
    </w:p>
    <w:p>
      <w:pPr>
        <w:pStyle w:val="ListBullet"/>
        <w:ind w:left="720" w:hanging="360"/>
      </w:pPr>
      <w:r>
        <w:t>Opt-in location sharing is explicit, revocable, and limited to active events.</w:t>
      </w:r>
    </w:p>
    <w:p>
      <w:pPr>
        <w:pStyle w:val="ListBullet"/>
        <w:ind w:left="720" w:hanging="360"/>
      </w:pPr>
      <w:r>
        <w:t>Strip contact information, tokens, device identifiers, and raw location from public intelligence.</w:t>
      </w:r>
    </w:p>
    <w:p>
      <w:pPr>
        <w:pStyle w:val="ListBullet"/>
        <w:ind w:left="720" w:hanging="360"/>
      </w:pPr>
      <w:r>
        <w:t>Provide export/delete workflows with audit records, retention policy, and derived-data recomputation.</w:t>
      </w:r>
    </w:p>
    <w:p>
      <w:pPr>
        <w:pStyle w:val="ListBullet"/>
        <w:ind w:left="720" w:hanging="360"/>
      </w:pPr>
      <w:r>
        <w:t>Threat-model inference leakage: small cohorts, unique routes, timing correlation, and malicious network membership.</w:t>
      </w:r>
    </w:p>
    <w:p>
      <w:pPr>
        <w:pStyle w:val="Heading1"/>
      </w:pPr>
      <w:r>
        <w:t>Part 11 — Technical Debt and Deferrals</w:t>
      </w:r>
    </w:p>
    <w:p>
      <w:pPr>
        <w:pStyle w:val="Heading2"/>
      </w:pPr>
      <w:r>
        <w:t>11.1 Current risks</w:t>
      </w:r>
    </w:p>
    <w:tbl>
      <w:tblPr>
        <w:tblStyle w:val="TableGrid"/>
        <w:tblW w:type="dxa" w:w="9360"/>
        <w:jc w:val="left"/>
        <w:tblLayout w:type="fixed"/>
        <w:tblLook w:firstColumn="1" w:firstRow="1" w:lastColumn="0" w:lastRow="0" w:noHBand="0" w:noVBand="1" w:val="04A0"/>
        <w:tblInd w:w="120" w:type="dxa"/>
      </w:tblPr>
      <w:tblGrid>
        <w:gridCol w:w="2400"/>
        <w:gridCol w:w="3200"/>
        <w:gridCol w:w="3760"/>
      </w:tblGrid>
      <w:tr>
        <w:trPr>
          <w:tblHeader w:val="true"/>
        </w:trPr>
        <w:tc>
          <w:tcPr>
            <w:tcW w:type="dxa" w:w="2400"/>
            <w:vAlign w:val="top"/>
            <w:tcMar>
              <w:top w:w="80" w:type="dxa"/>
              <w:bottom w:w="80" w:type="dxa"/>
              <w:start w:w="120" w:type="dxa"/>
              <w:end w:w="120" w:type="dxa"/>
            </w:tcMar>
            <w:shd w:fill="F2F4F7"/>
          </w:tcPr>
          <w:p>
            <w:pPr>
              <w:spacing w:after="0"/>
            </w:pPr>
            <w:r>
              <w:rPr>
                <w:rFonts w:ascii="Calibri" w:hAnsi="Calibri"/>
                <w:b/>
                <w:color w:val="18324A"/>
                <w:sz w:val="18"/>
              </w:rPr>
              <w:t>Risk</w:t>
            </w:r>
          </w:p>
        </w:tc>
        <w:tc>
          <w:tcPr>
            <w:tcW w:type="dxa" w:w="3200"/>
            <w:vAlign w:val="top"/>
            <w:tcMar>
              <w:top w:w="80" w:type="dxa"/>
              <w:bottom w:w="80" w:type="dxa"/>
              <w:start w:w="120" w:type="dxa"/>
              <w:end w:w="120" w:type="dxa"/>
            </w:tcMar>
            <w:shd w:fill="F2F4F7"/>
          </w:tcPr>
          <w:p>
            <w:pPr>
              <w:spacing w:after="0"/>
            </w:pPr>
            <w:r>
              <w:rPr>
                <w:rFonts w:ascii="Calibri" w:hAnsi="Calibri"/>
                <w:b/>
                <w:color w:val="18324A"/>
                <w:sz w:val="18"/>
              </w:rPr>
              <w:t>Impact</w:t>
            </w:r>
          </w:p>
        </w:tc>
        <w:tc>
          <w:tcPr>
            <w:tcW w:type="dxa" w:w="3760"/>
            <w:vAlign w:val="top"/>
            <w:tcMar>
              <w:top w:w="80" w:type="dxa"/>
              <w:bottom w:w="80" w:type="dxa"/>
              <w:start w:w="120" w:type="dxa"/>
              <w:end w:w="120" w:type="dxa"/>
            </w:tcMar>
            <w:shd w:fill="F2F4F7"/>
          </w:tcPr>
          <w:p>
            <w:pPr>
              <w:spacing w:after="0"/>
            </w:pPr>
            <w:r>
              <w:rPr>
                <w:rFonts w:ascii="Calibri" w:hAnsi="Calibri"/>
                <w:b/>
                <w:color w:val="18324A"/>
                <w:sz w:val="18"/>
              </w:rPr>
              <w:t>Treatment</w:t>
            </w:r>
          </w:p>
        </w:tc>
      </w:tr>
      <w:tr>
        <w:tc>
          <w:tcPr>
            <w:tcW w:type="dxa" w:w="2400"/>
          </w:tcPr>
          <w:p>
            <w:pPr>
              <w:spacing w:after="0"/>
            </w:pPr>
            <w:r>
              <w:rPr>
                <w:rFonts w:ascii="Calibri" w:hAnsi="Calibri"/>
                <w:color w:val="1F2937"/>
                <w:sz w:val="17"/>
              </w:rPr>
              <w:t>Monolithic app.js and global mutable state</w:t>
            </w:r>
          </w:p>
        </w:tc>
        <w:tc>
          <w:tcPr>
            <w:tcW w:type="dxa" w:w="3200"/>
          </w:tcPr>
          <w:p>
            <w:pPr>
              <w:spacing w:after="0"/>
            </w:pPr>
            <w:r>
              <w:rPr>
                <w:rFonts w:ascii="Calibri" w:hAnsi="Calibri"/>
                <w:color w:val="1F2937"/>
                <w:sz w:val="17"/>
              </w:rPr>
              <w:t>Regression coupling and difficult tests</w:t>
            </w:r>
          </w:p>
        </w:tc>
        <w:tc>
          <w:tcPr>
            <w:tcW w:type="dxa" w:w="3760"/>
          </w:tcPr>
          <w:p>
            <w:pPr>
              <w:spacing w:after="0"/>
            </w:pPr>
            <w:r>
              <w:rPr>
                <w:rFonts w:ascii="Calibri" w:hAnsi="Calibri"/>
                <w:color w:val="1F2937"/>
                <w:sz w:val="17"/>
              </w:rPr>
              <w:t>Milestones M1–M4; do not add new domains to app.js.</w:t>
            </w:r>
          </w:p>
        </w:tc>
      </w:tr>
      <w:tr>
        <w:tc>
          <w:tcPr>
            <w:tcW w:type="dxa" w:w="2400"/>
          </w:tcPr>
          <w:p>
            <w:pPr>
              <w:spacing w:after="0"/>
            </w:pPr>
            <w:r>
              <w:rPr>
                <w:rFonts w:ascii="Calibri" w:hAnsi="Calibri"/>
                <w:color w:val="1F2937"/>
                <w:sz w:val="17"/>
              </w:rPr>
              <w:t>Single project-oriented IndexedDB store</w:t>
            </w:r>
          </w:p>
        </w:tc>
        <w:tc>
          <w:tcPr>
            <w:tcW w:type="dxa" w:w="3200"/>
          </w:tcPr>
          <w:p>
            <w:pPr>
              <w:spacing w:after="0"/>
            </w:pPr>
            <w:r>
              <w:rPr>
                <w:rFonts w:ascii="Calibri" w:hAnsi="Calibri"/>
                <w:color w:val="1F2937"/>
                <w:sz w:val="17"/>
              </w:rPr>
              <w:t>No durable append-only/outbox semantics</w:t>
            </w:r>
          </w:p>
        </w:tc>
        <w:tc>
          <w:tcPr>
            <w:tcW w:type="dxa" w:w="3760"/>
          </w:tcPr>
          <w:p>
            <w:pPr>
              <w:spacing w:after="0"/>
            </w:pPr>
            <w:r>
              <w:rPr>
                <w:rFonts w:ascii="Calibri" w:hAnsi="Calibri"/>
                <w:color w:val="1F2937"/>
                <w:sz w:val="17"/>
              </w:rPr>
              <w:t>M2 additive schema; legacy retained.</w:t>
            </w:r>
          </w:p>
        </w:tc>
      </w:tr>
      <w:tr>
        <w:tc>
          <w:tcPr>
            <w:tcW w:type="dxa" w:w="2400"/>
          </w:tcPr>
          <w:p>
            <w:pPr>
              <w:spacing w:after="0"/>
            </w:pPr>
            <w:r>
              <w:rPr>
                <w:rFonts w:ascii="Calibri" w:hAnsi="Calibri"/>
                <w:color w:val="1F2937"/>
                <w:sz w:val="17"/>
              </w:rPr>
              <w:t>Firebase v8 namespaced SDK</w:t>
            </w:r>
          </w:p>
        </w:tc>
        <w:tc>
          <w:tcPr>
            <w:tcW w:type="dxa" w:w="3200"/>
          </w:tcPr>
          <w:p>
            <w:pPr>
              <w:spacing w:after="0"/>
            </w:pPr>
            <w:r>
              <w:rPr>
                <w:rFonts w:ascii="Calibri" w:hAnsi="Calibri"/>
                <w:color w:val="1F2937"/>
                <w:sz w:val="17"/>
              </w:rPr>
              <w:t>Long-term maintenance/security upgrade pressure</w:t>
            </w:r>
          </w:p>
        </w:tc>
        <w:tc>
          <w:tcPr>
            <w:tcW w:type="dxa" w:w="3760"/>
          </w:tcPr>
          <w:p>
            <w:pPr>
              <w:spacing w:after="0"/>
            </w:pPr>
            <w:r>
              <w:rPr>
                <w:rFonts w:ascii="Calibri" w:hAnsi="Calibri"/>
                <w:color w:val="1F2937"/>
                <w:sz w:val="17"/>
              </w:rPr>
              <w:t>Adapter boundary first; SDK migration later, separately.</w:t>
            </w:r>
          </w:p>
        </w:tc>
      </w:tr>
      <w:tr>
        <w:tc>
          <w:tcPr>
            <w:tcW w:type="dxa" w:w="2400"/>
          </w:tcPr>
          <w:p>
            <w:pPr>
              <w:spacing w:after="0"/>
            </w:pPr>
            <w:r>
              <w:rPr>
                <w:rFonts w:ascii="Calibri" w:hAnsi="Calibri"/>
                <w:color w:val="1F2937"/>
                <w:sz w:val="17"/>
              </w:rPr>
              <w:t>Static service-worker cache list</w:t>
            </w:r>
          </w:p>
        </w:tc>
        <w:tc>
          <w:tcPr>
            <w:tcW w:type="dxa" w:w="3200"/>
          </w:tcPr>
          <w:p>
            <w:pPr>
              <w:spacing w:after="0"/>
            </w:pPr>
            <w:r>
              <w:rPr>
                <w:rFonts w:ascii="Calibri" w:hAnsi="Calibri"/>
                <w:color w:val="1F2937"/>
                <w:sz w:val="17"/>
              </w:rPr>
              <w:t>Manual drift risk</w:t>
            </w:r>
          </w:p>
        </w:tc>
        <w:tc>
          <w:tcPr>
            <w:tcW w:type="dxa" w:w="3760"/>
          </w:tcPr>
          <w:p>
            <w:pPr>
              <w:spacing w:after="0"/>
            </w:pPr>
            <w:r>
              <w:rPr>
                <w:rFonts w:ascii="Calibri" w:hAnsi="Calibri"/>
                <w:color w:val="1F2937"/>
                <w:sz w:val="17"/>
              </w:rPr>
              <w:t>Generate manifest from pinned assets/modules.</w:t>
            </w:r>
          </w:p>
        </w:tc>
      </w:tr>
      <w:tr>
        <w:tc>
          <w:tcPr>
            <w:tcW w:type="dxa" w:w="2400"/>
          </w:tcPr>
          <w:p>
            <w:pPr>
              <w:spacing w:after="0"/>
            </w:pPr>
            <w:r>
              <w:rPr>
                <w:rFonts w:ascii="Calibri" w:hAnsi="Calibri"/>
                <w:color w:val="1F2937"/>
                <w:sz w:val="17"/>
              </w:rPr>
              <w:t>Global competitor layer rebuild</w:t>
            </w:r>
          </w:p>
        </w:tc>
        <w:tc>
          <w:tcPr>
            <w:tcW w:type="dxa" w:w="3200"/>
          </w:tcPr>
          <w:p>
            <w:pPr>
              <w:spacing w:after="0"/>
            </w:pPr>
            <w:r>
              <w:rPr>
                <w:rFonts w:ascii="Calibri" w:hAnsi="Calibri"/>
                <w:color w:val="1F2937"/>
                <w:sz w:val="17"/>
              </w:rPr>
              <w:t>CPU/memory pressure at scale</w:t>
            </w:r>
          </w:p>
        </w:tc>
        <w:tc>
          <w:tcPr>
            <w:tcW w:type="dxa" w:w="3760"/>
          </w:tcPr>
          <w:p>
            <w:pPr>
              <w:spacing w:after="0"/>
            </w:pPr>
            <w:r>
              <w:rPr>
                <w:rFonts w:ascii="Calibri" w:hAnsi="Calibri"/>
                <w:color w:val="1F2937"/>
                <w:sz w:val="17"/>
              </w:rPr>
              <w:t>Incremental LayerRegistry in M3.</w:t>
            </w:r>
          </w:p>
        </w:tc>
      </w:tr>
      <w:tr>
        <w:tc>
          <w:tcPr>
            <w:tcW w:type="dxa" w:w="2400"/>
          </w:tcPr>
          <w:p>
            <w:pPr>
              <w:spacing w:after="0"/>
            </w:pPr>
            <w:r>
              <w:rPr>
                <w:rFonts w:ascii="Calibri" w:hAnsi="Calibri"/>
                <w:color w:val="1F2937"/>
                <w:sz w:val="17"/>
              </w:rPr>
              <w:t>Ambiguous historical confidence formula</w:t>
            </w:r>
          </w:p>
        </w:tc>
        <w:tc>
          <w:tcPr>
            <w:tcW w:type="dxa" w:w="3200"/>
          </w:tcPr>
          <w:p>
            <w:pPr>
              <w:spacing w:after="0"/>
            </w:pPr>
            <w:r>
              <w:rPr>
                <w:rFonts w:ascii="Calibri" w:hAnsi="Calibri"/>
                <w:color w:val="1F2937"/>
                <w:sz w:val="17"/>
              </w:rPr>
              <w:t>Conflicts with seven dimensions</w:t>
            </w:r>
          </w:p>
        </w:tc>
        <w:tc>
          <w:tcPr>
            <w:tcW w:type="dxa" w:w="3760"/>
          </w:tcPr>
          <w:p>
            <w:pPr>
              <w:spacing w:after="0"/>
            </w:pPr>
            <w:r>
              <w:rPr>
                <w:rFonts w:ascii="Calibri" w:hAnsi="Calibri"/>
                <w:color w:val="1F2937"/>
                <w:sz w:val="17"/>
              </w:rPr>
              <w:t>Deprecate aggregate field; dimension migration in M9.</w:t>
            </w:r>
          </w:p>
        </w:tc>
      </w:tr>
      <w:tr>
        <w:tc>
          <w:tcPr>
            <w:tcW w:type="dxa" w:w="2400"/>
          </w:tcPr>
          <w:p>
            <w:pPr>
              <w:spacing w:after="0"/>
            </w:pPr>
            <w:r>
              <w:rPr>
                <w:rFonts w:ascii="Calibri" w:hAnsi="Calibri"/>
                <w:color w:val="1F2937"/>
                <w:sz w:val="17"/>
              </w:rPr>
              <w:t>No server code/rules in repository</w:t>
            </w:r>
          </w:p>
        </w:tc>
        <w:tc>
          <w:tcPr>
            <w:tcW w:type="dxa" w:w="3200"/>
          </w:tcPr>
          <w:p>
            <w:pPr>
              <w:spacing w:after="0"/>
            </w:pPr>
            <w:r>
              <w:rPr>
                <w:rFonts w:ascii="Calibri" w:hAnsi="Calibri"/>
                <w:color w:val="1F2937"/>
                <w:sz w:val="17"/>
              </w:rPr>
              <w:t>Architecture cannot be enforced</w:t>
            </w:r>
          </w:p>
        </w:tc>
        <w:tc>
          <w:tcPr>
            <w:tcW w:type="dxa" w:w="3760"/>
          </w:tcPr>
          <w:p>
            <w:pPr>
              <w:spacing w:after="0"/>
            </w:pPr>
            <w:r>
              <w:rPr>
                <w:rFonts w:ascii="Calibri" w:hAnsi="Calibri"/>
                <w:color w:val="1F2937"/>
                <w:sz w:val="17"/>
              </w:rPr>
              <w:t>M6 establishes functions/rules/emulator.</w:t>
            </w:r>
          </w:p>
        </w:tc>
      </w:tr>
    </w:tbl>
    <w:p>
      <w:pPr>
        <w:spacing w:after="40"/>
      </w:pPr>
    </w:p>
    <w:p>
      <w:pPr>
        <w:pStyle w:val="Heading2"/>
      </w:pPr>
      <w:r>
        <w:t>11.2 Future risks</w:t>
      </w:r>
    </w:p>
    <w:p>
      <w:pPr>
        <w:pStyle w:val="ListBullet"/>
        <w:ind w:left="720" w:hanging="360"/>
      </w:pPr>
      <w:r>
        <w:t>Premature route-family merge/split could destroy lineage; all classifications begin provisional and remain reversible.</w:t>
      </w:r>
    </w:p>
    <w:p>
      <w:pPr>
        <w:pStyle w:val="ListBullet"/>
        <w:ind w:left="720" w:hanging="360"/>
      </w:pPr>
      <w:r>
        <w:t>Recommendation feedback can create self-reinforcing bias; evaluate outcomes separately and update only between rallies.</w:t>
      </w:r>
    </w:p>
    <w:p>
      <w:pPr>
        <w:pStyle w:val="ListBullet"/>
        <w:ind w:left="720" w:hanging="360"/>
      </w:pPr>
      <w:r>
        <w:t>Large-event Firebase fan-out and hot keys require production load proof before 1,000+ rider claims.</w:t>
      </w:r>
    </w:p>
    <w:p>
      <w:pPr>
        <w:pStyle w:val="ListBullet"/>
        <w:ind w:left="720" w:hanging="360"/>
      </w:pPr>
      <w:r>
        <w:t>Offline clients may return with old schemas/models; contracts need multi-version reads and bounded support windows.</w:t>
      </w:r>
    </w:p>
    <w:p>
      <w:pPr>
        <w:pStyle w:val="ListBullet"/>
        <w:ind w:left="720" w:hanging="360"/>
      </w:pPr>
      <w:r>
        <w:t>Explainability payloads can expose private evidence; separate private evidence from public explanation summaries.</w:t>
      </w:r>
    </w:p>
    <w:p>
      <w:pPr>
        <w:pStyle w:val="Heading2"/>
      </w:pPr>
      <w:r>
        <w:t>11.3 Do not implement yet</w:t>
      </w:r>
    </w:p>
    <w:p>
      <w:pPr>
        <w:pStyle w:val="ListBullet"/>
        <w:ind w:left="720" w:hanging="360"/>
      </w:pPr>
      <w:r>
        <w:t>No framework rewrite, TypeScript conversion, bundler migration, or UI redesign during domain extraction.</w:t>
      </w:r>
    </w:p>
    <w:p>
      <w:pPr>
        <w:pStyle w:val="ListBullet"/>
        <w:ind w:left="720" w:hanging="360"/>
      </w:pPr>
      <w:r>
        <w:t>No machine-learning model until deterministic statistical baselines, evidence ledgers, and Layer 7 evaluation are stable.</w:t>
      </w:r>
    </w:p>
    <w:p>
      <w:pPr>
        <w:pStyle w:val="ListBullet"/>
        <w:ind w:left="720" w:hanging="360"/>
      </w:pPr>
      <w:r>
        <w:t>No active-rally online learning or automatic Intelligence Network edits.</w:t>
      </w:r>
    </w:p>
    <w:p>
      <w:pPr>
        <w:pStyle w:val="ListBullet"/>
        <w:ind w:left="720" w:hanging="360"/>
      </w:pPr>
      <w:r>
        <w:t>No fuel inference, stop-cause classification, route recommendations, or crowd hazard reporting.</w:t>
      </w:r>
    </w:p>
    <w:p>
      <w:pPr>
        <w:pStyle w:val="ListBullet"/>
        <w:ind w:left="720" w:hanging="360"/>
      </w:pPr>
      <w:r>
        <w:t>No 5,000-rider client rendering; build server projections and graceful degradation first.</w:t>
      </w:r>
    </w:p>
    <w:p>
      <w:pPr>
        <w:pStyle w:val="ListBullet"/>
        <w:ind w:left="720" w:hanging="360"/>
      </w:pPr>
      <w:r>
        <w:t>No Firebase SDK upgrade bundled with schema migration or auth rollout.</w:t>
      </w:r>
    </w:p>
    <w:p>
      <w:pPr>
        <w:pStyle w:val="ListBullet"/>
        <w:ind w:left="720" w:hanging="360"/>
      </w:pPr>
      <w:r>
        <w:t>No deletion of legacy stores/fields before two-release rollback window closes.</w:t>
      </w:r>
    </w:p>
    <w:p>
      <w:pPr>
        <w:pStyle w:val="Heading1"/>
      </w:pPr>
      <w:r>
        <w:t>Part 12 — Numbered Agent-Executable Implementation Order</w:t>
      </w:r>
    </w:p>
    <w:p>
      <w:pPr>
        <w:pStyle w:val="ListNumber"/>
      </w:pPr>
      <w:r>
        <w:t>Record current main SHA, test commands, test totals, runtime assets, and rollback tag in docs/BASELINE.md.</w:t>
      </w:r>
    </w:p>
    <w:p>
      <w:pPr>
        <w:pStyle w:val="ListNumber"/>
      </w:pPr>
      <w:r>
        <w:t>Add architecture dependency rules and a CI script that rejects imports from lower layers to higher layers.</w:t>
      </w:r>
    </w:p>
    <w:p>
      <w:pPr>
        <w:pStyle w:val="ListNumber"/>
      </w:pPr>
      <w:r>
        <w:t>Add shared schemaVersion constants, domain enums, timestamp policy, error codes, and contract validation tests.</w:t>
      </w:r>
    </w:p>
    <w:p>
      <w:pPr>
        <w:pStyle w:val="ListNumber"/>
      </w:pPr>
      <w:r>
        <w:t>Extract clock and ID providers behind compatibility functions; preserve all callers.</w:t>
      </w:r>
    </w:p>
    <w:p>
      <w:pPr>
        <w:pStyle w:val="ListNumber"/>
      </w:pPr>
      <w:r>
        <w:t>Extract geo math and normalization utilities; add golden tests from current behavior.</w:t>
      </w:r>
    </w:p>
    <w:p>
      <w:pPr>
        <w:pStyle w:val="ListNumber"/>
      </w:pPr>
      <w:r>
        <w:t>Introduce EventBus with duplicate-subscription diagnostics; do not connect production flows yet.</w:t>
      </w:r>
    </w:p>
    <w:p>
      <w:pPr>
        <w:pStyle w:val="ListNumber"/>
      </w:pPr>
      <w:r>
        <w:t>Introduce StateStore with immutable slices and selectors; mirror current state in shadow mode.</w:t>
      </w:r>
    </w:p>
    <w:p>
      <w:pPr>
        <w:pStyle w:val="ListNumber"/>
      </w:pPr>
      <w:r>
        <w:t>Add IndexedDB schema registry and migration journal without changing the existing project store.</w:t>
      </w:r>
    </w:p>
    <w:p>
      <w:pPr>
        <w:pStyle w:val="ListNumber"/>
      </w:pPr>
      <w:r>
        <w:t>Create new v2 stores and indexes; add interrupted-upgrade and quota failure tests.</w:t>
      </w:r>
    </w:p>
    <w:p>
      <w:pPr>
        <w:pStyle w:val="ListNumber"/>
      </w:pPr>
      <w:r>
        <w:t>Implement repository interfaces and IndexedDB adapters for observations, outbox, DNA, intelligence, and sync metadata.</w:t>
      </w:r>
    </w:p>
    <w:p>
      <w:pPr>
        <w:pStyle w:val="ListNumber"/>
      </w:pPr>
      <w:r>
        <w:t>Add durable outbox transaction helper and foreground retry scheduler with injected clock/randomness.</w:t>
      </w:r>
    </w:p>
    <w:p>
      <w:pPr>
        <w:pStyle w:val="ListNumber"/>
      </w:pPr>
      <w:r>
        <w:t>Extract Leaflet MapEngine and LayerRegistry through an app.js facade.</w:t>
      </w:r>
    </w:p>
    <w:p>
      <w:pPr>
        <w:pStyle w:val="ListNumber"/>
      </w:pPr>
      <w:r>
        <w:t>Convert competitor layers to incremental keyed updates; retain existing rendering semantics.</w:t>
      </w:r>
    </w:p>
    <w:p>
      <w:pPr>
        <w:pStyle w:val="ListNumber"/>
      </w:pPr>
      <w:r>
        <w:t>Extract project persistence and snapshot behavior; compare serialized fixtures.</w:t>
      </w:r>
    </w:p>
    <w:p>
      <w:pPr>
        <w:pStyle w:val="ListNumber"/>
      </w:pPr>
      <w:r>
        <w:t>Extract GPX/project import normalization and export services; retain golden outputs.</w:t>
      </w:r>
    </w:p>
    <w:p>
      <w:pPr>
        <w:pStyle w:val="ListNumber"/>
      </w:pPr>
      <w:r>
        <w:t>Extract Rally checkpoint state machine and scoring without UI changes.</w:t>
      </w:r>
    </w:p>
    <w:p>
      <w:pPr>
        <w:pStyle w:val="ListNumber"/>
      </w:pPr>
      <w:r>
        <w:t>Extract Rally presenters/controllers and Rider Manager rendering; preserve listener ownership.</w:t>
      </w:r>
    </w:p>
    <w:p>
      <w:pPr>
        <w:pStyle w:val="ListNumber"/>
      </w:pPr>
      <w:r>
        <w:t>Extract weather/radar/traffic adapters with abort, timeout, and response-schema tests.</w:t>
      </w:r>
    </w:p>
    <w:p>
      <w:pPr>
        <w:pStyle w:val="ListNumber"/>
      </w:pPr>
      <w:r>
        <w:t>Reduce app.js to bootstrap/composition and compatibility exports; run full regression matrix.</w:t>
      </w:r>
    </w:p>
    <w:p>
      <w:pPr>
        <w:pStyle w:val="ListNumber"/>
      </w:pPr>
      <w:r>
        <w:t>Define ObservationEnvelope and append-only Observation domain model.</w:t>
      </w:r>
    </w:p>
    <w:p>
      <w:pPr>
        <w:pStyle w:val="ListNumber"/>
      </w:pPr>
      <w:r>
        <w:t>Implement ObservationCollector writing observation and outbox atomically.</w:t>
      </w:r>
    </w:p>
    <w:p>
      <w:pPr>
        <w:pStyle w:val="ListNumber"/>
      </w:pPr>
      <w:r>
        <w:t>Implement deterministic local QualityScorer inputs and separate observationQuality dimension.</w:t>
      </w:r>
    </w:p>
    <w:p>
      <w:pPr>
        <w:pStyle w:val="ListNumber"/>
      </w:pPr>
      <w:r>
        <w:t>Add Firebase Auth/App Check bootstrap behind disabled feature flag.</w:t>
      </w:r>
    </w:p>
    <w:p>
      <w:pPr>
        <w:pStyle w:val="ListNumber"/>
      </w:pPr>
      <w:r>
        <w:t>Create Firebase Rules and Emulator Suite tests with default-deny ownership validation.</w:t>
      </w:r>
    </w:p>
    <w:p>
      <w:pPr>
        <w:pStyle w:val="ListNumber"/>
      </w:pPr>
      <w:r>
        <w:t>Implement idempotent ingestObservation Function and client transport adapter.</w:t>
      </w:r>
    </w:p>
    <w:p>
      <w:pPr>
        <w:pStyle w:val="ListNumber"/>
      </w:pPr>
      <w:r>
        <w:t>Implement receipt/delta reconciliation and offline reconnect tests.</w:t>
      </w:r>
    </w:p>
    <w:p>
      <w:pPr>
        <w:pStyle w:val="ListNumber"/>
      </w:pPr>
      <w:r>
        <w:t>Implement Commitment state machine and evidence signal contracts.</w:t>
      </w:r>
    </w:p>
    <w:p>
      <w:pPr>
        <w:pStyle w:val="ListNumber"/>
      </w:pPr>
      <w:r>
        <w:t>Build CommitmentEngine in shadow mode with human-readable explanations and replay fixtures.</w:t>
      </w:r>
    </w:p>
    <w:p>
      <w:pPr>
        <w:pStyle w:val="ListNumber"/>
      </w:pPr>
      <w:r>
        <w:t>Define RouteFamily, RouteVariant, revision, lineage, and provisional classification contracts.</w:t>
      </w:r>
    </w:p>
    <w:p>
      <w:pPr>
        <w:pStyle w:val="ListNumber"/>
      </w:pPr>
      <w:r>
        <w:t>Implement independent RouteVariant statistics with deterministic replay.</w:t>
      </w:r>
    </w:p>
    <w:p>
      <w:pPr>
        <w:pStyle w:val="ListNumber"/>
      </w:pPr>
      <w:r>
        <w:t>Implement RouteFamily aggregate statistics without overwriting variant statistics.</w:t>
      </w:r>
    </w:p>
    <w:p>
      <w:pPr>
        <w:pStyle w:val="ListNumber"/>
      </w:pPr>
      <w:r>
        <w:t>Implement provisional merge/split proposals and reversible lineage transitions.</w:t>
      </w:r>
    </w:p>
    <w:p>
      <w:pPr>
        <w:pStyle w:val="ListNumber"/>
      </w:pPr>
      <w:r>
        <w:t>Add server Functions for validated observations, variant updates, and family reconciliation.</w:t>
      </w:r>
    </w:p>
    <w:p>
      <w:pPr>
        <w:pStyle w:val="ListNumber"/>
      </w:pPr>
      <w:r>
        <w:t>Define seven-dimension ConfidenceVector and prohibit aggregate confidence in schema validation.</w:t>
      </w:r>
    </w:p>
    <w:p>
      <w:pPr>
        <w:pStyle w:val="ListNumber"/>
      </w:pPr>
      <w:r>
        <w:t>Implement recency/stability evolution policies and dimension-specific provenance.</w:t>
      </w:r>
    </w:p>
    <w:p>
      <w:pPr>
        <w:pStyle w:val="ListNumber"/>
      </w:pPr>
      <w:r>
        <w:t>Implement Checkpoint/Sequence intelligence projections as rebuildable Functions.</w:t>
      </w:r>
    </w:p>
    <w:p>
      <w:pPr>
        <w:pStyle w:val="ListNumber"/>
      </w:pPr>
      <w:r>
        <w:t>Implement user-controlled Intelligence Network repositories and secure CRUD.</w:t>
      </w:r>
    </w:p>
    <w:p>
      <w:pPr>
        <w:pStyle w:val="ListNumber"/>
      </w:pPr>
      <w:r>
        <w:t>Implement explainable CompatibilityEngine suggestions; verify no automatic network mutation.</w:t>
      </w:r>
    </w:p>
    <w:p>
      <w:pPr>
        <w:pStyle w:val="ListNumber"/>
      </w:pPr>
      <w:r>
        <w:t>Define IntelligenceItem state machine from private observation through notification.</w:t>
      </w:r>
    </w:p>
    <w:p>
      <w:pPr>
        <w:pStyle w:val="ListNumber"/>
      </w:pPr>
      <w:r>
        <w:t>Implement validation/anonymization gates and crowd publication projections.</w:t>
      </w:r>
    </w:p>
    <w:p>
      <w:pPr>
        <w:pStyle w:val="ListNumber"/>
      </w:pPr>
      <w:r>
        <w:t>Implement Co-Driver meaningfulness evaluation and notification dedupe/expiry.</w:t>
      </w:r>
    </w:p>
    <w:p>
      <w:pPr>
        <w:pStyle w:val="ListNumber"/>
      </w:pPr>
      <w:r>
        <w:t>Implement acknowledgement sync and offline-safe event state.</w:t>
      </w:r>
    </w:p>
    <w:p>
      <w:pPr>
        <w:pStyle w:val="ListNumber"/>
      </w:pPr>
      <w:r>
        <w:t>Define RecommendationOutcome and RecommendationEvaluation contracts.</w:t>
      </w:r>
    </w:p>
    <w:p>
      <w:pPr>
        <w:pStyle w:val="ListNumber"/>
      </w:pPr>
      <w:r>
        <w:t>Implement Layer 7 evaluation after outcomes with active-rally model freeze enforcement.</w:t>
      </w:r>
    </w:p>
    <w:p>
      <w:pPr>
        <w:pStyle w:val="ListNumber"/>
      </w:pPr>
      <w:r>
        <w:t>Implement post-rally versioned model update queue and rollback pointer; keep disabled.</w:t>
      </w:r>
    </w:p>
    <w:p>
      <w:pPr>
        <w:pStyle w:val="ListNumber"/>
      </w:pPr>
      <w:r>
        <w:t>Add 100/500/1000-rider performance fixtures and device memory/battery profiling.</w:t>
      </w:r>
    </w:p>
    <w:p>
      <w:pPr>
        <w:pStyle w:val="ListNumber"/>
      </w:pPr>
      <w:r>
        <w:t>Add 5,000-rider server projection/load test and client graceful-degradation proof.</w:t>
      </w:r>
    </w:p>
    <w:p>
      <w:pPr>
        <w:pStyle w:val="ListNumber"/>
      </w:pPr>
      <w:r>
        <w:t>Add operational dashboards, dead-letter runbooks, privacy export/delete, and disaster recovery rehearsal.</w:t>
      </w:r>
    </w:p>
    <w:p>
      <w:pPr>
        <w:pStyle w:val="ListNumber"/>
      </w:pPr>
      <w:r>
        <w:t>Run a two-release shadow/dual-read period; reconcile, rehearse rollback, then remove approved legacy paths in separate commits.</w:t>
      </w:r>
    </w:p>
    <w:p>
      <w:pPr>
        <w:pStyle w:val="Heading1"/>
      </w:pPr>
      <w:r>
        <w:t>Release Governance</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top"/>
            <w:tcMar>
              <w:top w:w="80" w:type="dxa"/>
              <w:bottom w:w="80" w:type="dxa"/>
              <w:start w:w="120" w:type="dxa"/>
              <w:end w:w="120" w:type="dxa"/>
            </w:tcMar>
            <w:shd w:fill="F2F4F7"/>
          </w:tcPr>
          <w:p>
            <w:pPr>
              <w:spacing w:after="0"/>
            </w:pPr>
            <w:r>
              <w:rPr>
                <w:rFonts w:ascii="Calibri" w:hAnsi="Calibri"/>
                <w:b/>
                <w:color w:val="18324A"/>
                <w:sz w:val="18"/>
              </w:rPr>
              <w:t>Gate</w:t>
            </w:r>
          </w:p>
        </w:tc>
        <w:tc>
          <w:tcPr>
            <w:tcW w:type="dxa" w:w="7260"/>
            <w:vAlign w:val="top"/>
            <w:tcMar>
              <w:top w:w="80" w:type="dxa"/>
              <w:bottom w:w="80" w:type="dxa"/>
              <w:start w:w="120" w:type="dxa"/>
              <w:end w:w="120" w:type="dxa"/>
            </w:tcMar>
            <w:shd w:fill="F2F4F7"/>
          </w:tcPr>
          <w:p>
            <w:pPr>
              <w:spacing w:after="0"/>
            </w:pPr>
            <w:r>
              <w:rPr>
                <w:rFonts w:ascii="Calibri" w:hAnsi="Calibri"/>
                <w:b/>
                <w:color w:val="18324A"/>
                <w:sz w:val="18"/>
              </w:rPr>
              <w:t>Required evidence</w:t>
            </w:r>
          </w:p>
        </w:tc>
      </w:tr>
      <w:tr>
        <w:tc>
          <w:tcPr>
            <w:tcW w:type="dxa" w:w="2100"/>
          </w:tcPr>
          <w:p>
            <w:pPr>
              <w:spacing w:after="0"/>
            </w:pPr>
            <w:r>
              <w:rPr>
                <w:rFonts w:ascii="Calibri" w:hAnsi="Calibri"/>
                <w:color w:val="1F2937"/>
                <w:sz w:val="17"/>
              </w:rPr>
              <w:t>Extraction gate</w:t>
            </w:r>
          </w:p>
        </w:tc>
        <w:tc>
          <w:tcPr>
            <w:tcW w:type="dxa" w:w="7260"/>
          </w:tcPr>
          <w:p>
            <w:pPr>
              <w:spacing w:after="0"/>
            </w:pPr>
            <w:r>
              <w:rPr>
                <w:rFonts w:ascii="Calibri" w:hAnsi="Calibri"/>
                <w:color w:val="1F2937"/>
                <w:sz w:val="17"/>
              </w:rPr>
              <w:t>No behavior change; full existing serial matrix green; one-commit rollback.</w:t>
            </w:r>
          </w:p>
        </w:tc>
      </w:tr>
      <w:tr>
        <w:tc>
          <w:tcPr>
            <w:tcW w:type="dxa" w:w="2100"/>
          </w:tcPr>
          <w:p>
            <w:pPr>
              <w:spacing w:after="0"/>
            </w:pPr>
            <w:r>
              <w:rPr>
                <w:rFonts w:ascii="Calibri" w:hAnsi="Calibri"/>
                <w:color w:val="1F2937"/>
                <w:sz w:val="17"/>
              </w:rPr>
              <w:t>Persistence gate</w:t>
            </w:r>
          </w:p>
        </w:tc>
        <w:tc>
          <w:tcPr>
            <w:tcW w:type="dxa" w:w="7260"/>
          </w:tcPr>
          <w:p>
            <w:pPr>
              <w:spacing w:after="0"/>
            </w:pPr>
            <w:r>
              <w:rPr>
                <w:rFonts w:ascii="Calibri" w:hAnsi="Calibri"/>
                <w:color w:val="1F2937"/>
                <w:sz w:val="17"/>
              </w:rPr>
              <w:t>Upgrade, interruption, quota, old-client, export, and rollback fixtures pass.</w:t>
            </w:r>
          </w:p>
        </w:tc>
      </w:tr>
      <w:tr>
        <w:tc>
          <w:tcPr>
            <w:tcW w:type="dxa" w:w="2100"/>
          </w:tcPr>
          <w:p>
            <w:pPr>
              <w:spacing w:after="0"/>
            </w:pPr>
            <w:r>
              <w:rPr>
                <w:rFonts w:ascii="Calibri" w:hAnsi="Calibri"/>
                <w:color w:val="1F2937"/>
                <w:sz w:val="17"/>
              </w:rPr>
              <w:t>Server gate</w:t>
            </w:r>
          </w:p>
        </w:tc>
        <w:tc>
          <w:tcPr>
            <w:tcW w:type="dxa" w:w="7260"/>
          </w:tcPr>
          <w:p>
            <w:pPr>
              <w:spacing w:after="0"/>
            </w:pPr>
            <w:r>
              <w:rPr>
                <w:rFonts w:ascii="Calibri" w:hAnsi="Calibri"/>
                <w:color w:val="1F2937"/>
                <w:sz w:val="17"/>
              </w:rPr>
              <w:t>Emulator Rules/Functions tests; idempotency and dead-letter recovery demonstrated.</w:t>
            </w:r>
          </w:p>
        </w:tc>
      </w:tr>
      <w:tr>
        <w:tc>
          <w:tcPr>
            <w:tcW w:type="dxa" w:w="2100"/>
          </w:tcPr>
          <w:p>
            <w:pPr>
              <w:spacing w:after="0"/>
            </w:pPr>
            <w:r>
              <w:rPr>
                <w:rFonts w:ascii="Calibri" w:hAnsi="Calibri"/>
                <w:color w:val="1F2937"/>
                <w:sz w:val="17"/>
              </w:rPr>
              <w:t>Intelligence gate</w:t>
            </w:r>
          </w:p>
        </w:tc>
        <w:tc>
          <w:tcPr>
            <w:tcW w:type="dxa" w:w="7260"/>
          </w:tcPr>
          <w:p>
            <w:pPr>
              <w:spacing w:after="0"/>
            </w:pPr>
            <w:r>
              <w:rPr>
                <w:rFonts w:ascii="Calibri" w:hAnsi="Calibri"/>
                <w:color w:val="1F2937"/>
                <w:sz w:val="17"/>
              </w:rPr>
              <w:t>Evidence/explanation audit; privacy gate; no speculation represented as fact.</w:t>
            </w:r>
          </w:p>
        </w:tc>
      </w:tr>
      <w:tr>
        <w:tc>
          <w:tcPr>
            <w:tcW w:type="dxa" w:w="2100"/>
          </w:tcPr>
          <w:p>
            <w:pPr>
              <w:spacing w:after="0"/>
            </w:pPr>
            <w:r>
              <w:rPr>
                <w:rFonts w:ascii="Calibri" w:hAnsi="Calibri"/>
                <w:color w:val="1F2937"/>
                <w:sz w:val="17"/>
              </w:rPr>
              <w:t>Active rally gate</w:t>
            </w:r>
          </w:p>
        </w:tc>
        <w:tc>
          <w:tcPr>
            <w:tcW w:type="dxa" w:w="7260"/>
          </w:tcPr>
          <w:p>
            <w:pPr>
              <w:spacing w:after="0"/>
            </w:pPr>
            <w:r>
              <w:rPr>
                <w:rFonts w:ascii="Calibri" w:hAnsi="Calibri"/>
                <w:color w:val="1F2937"/>
                <w:sz w:val="17"/>
              </w:rPr>
              <w:t>Model/config freeze ID recorded; rollback and offline operation tested.</w:t>
            </w:r>
          </w:p>
        </w:tc>
      </w:tr>
      <w:tr>
        <w:tc>
          <w:tcPr>
            <w:tcW w:type="dxa" w:w="2100"/>
          </w:tcPr>
          <w:p>
            <w:pPr>
              <w:spacing w:after="0"/>
            </w:pPr>
            <w:r>
              <w:rPr>
                <w:rFonts w:ascii="Calibri" w:hAnsi="Calibri"/>
                <w:color w:val="1F2937"/>
                <w:sz w:val="17"/>
              </w:rPr>
              <w:t>Scale gate</w:t>
            </w:r>
          </w:p>
        </w:tc>
        <w:tc>
          <w:tcPr>
            <w:tcW w:type="dxa" w:w="7260"/>
          </w:tcPr>
          <w:p>
            <w:pPr>
              <w:spacing w:after="0"/>
            </w:pPr>
            <w:r>
              <w:rPr>
                <w:rFonts w:ascii="Calibri" w:hAnsi="Calibri"/>
                <w:color w:val="1F2937"/>
                <w:sz w:val="17"/>
              </w:rPr>
              <w:t>Representative device and server load results meet published tier budgets.</w:t>
            </w:r>
          </w:p>
        </w:tc>
      </w:tr>
      <w:tr>
        <w:tc>
          <w:tcPr>
            <w:tcW w:type="dxa" w:w="2100"/>
          </w:tcPr>
          <w:p>
            <w:pPr>
              <w:spacing w:after="0"/>
            </w:pPr>
            <w:r>
              <w:rPr>
                <w:rFonts w:ascii="Calibri" w:hAnsi="Calibri"/>
                <w:color w:val="1F2937"/>
                <w:sz w:val="17"/>
              </w:rPr>
              <w:t>Legacy removal gate</w:t>
            </w:r>
          </w:p>
        </w:tc>
        <w:tc>
          <w:tcPr>
            <w:tcW w:type="dxa" w:w="7260"/>
          </w:tcPr>
          <w:p>
            <w:pPr>
              <w:spacing w:after="0"/>
            </w:pPr>
            <w:r>
              <w:rPr>
                <w:rFonts w:ascii="Calibri" w:hAnsi="Calibri"/>
                <w:color w:val="1F2937"/>
                <w:sz w:val="17"/>
              </w:rPr>
              <w:t>Two releases reconciled; telemetry clean; user data export and rollback snapshot retained.</w:t>
            </w:r>
          </w:p>
        </w:tc>
      </w:tr>
    </w:tbl>
    <w:p>
      <w:pPr>
        <w:spacing w:after="40"/>
      </w:pPr>
    </w:p>
    <w:p>
      <w:pPr>
        <w:pStyle w:val="Heading1"/>
      </w:pPr>
      <w:r>
        <w:t>Architecture Decision Summary</w:t>
      </w:r>
    </w:p>
    <w:p>
      <w:pPr>
        <w:pStyle w:val="ListBullet"/>
        <w:ind w:left="720" w:hanging="360"/>
      </w:pPr>
      <w:r>
        <w:t>The Version 1.0 seven-layer pipeline is extended with Layer 7 Intelligence Evaluation; dependencies remain upward-only.</w:t>
      </w:r>
    </w:p>
    <w:p>
      <w:pPr>
        <w:pStyle w:val="ListBullet"/>
        <w:ind w:left="720" w:hanging="360"/>
      </w:pPr>
      <w:r>
        <w:t>Route DNA is owned by Route Families; Route Variants retain independent statistics and lineage.</w:t>
      </w:r>
    </w:p>
    <w:p>
      <w:pPr>
        <w:pStyle w:val="ListBullet"/>
        <w:ind w:left="720" w:hanging="360"/>
      </w:pPr>
      <w:r>
        <w:t>Commitment is inferred from evidence, never directly observed, and every inference is explainable.</w:t>
      </w:r>
    </w:p>
    <w:p>
      <w:pPr>
        <w:pStyle w:val="ListBullet"/>
        <w:ind w:left="720" w:hanging="360"/>
      </w:pPr>
      <w:r>
        <w:t>Intelligence follows private → completed → validated → crowd → Co-Driver evaluation → notification.</w:t>
      </w:r>
    </w:p>
    <w:p>
      <w:pPr>
        <w:pStyle w:val="ListBullet"/>
        <w:ind w:left="720" w:hanging="360"/>
      </w:pPr>
      <w:r>
        <w:t>Observation Quality, Evidence Strength, Inference Confidence, Historical Confidence, Current Confidence, Recency, and Stability remain independent.</w:t>
      </w:r>
    </w:p>
    <w:p>
      <w:pPr>
        <w:pStyle w:val="ListBullet"/>
        <w:ind w:left="720" w:hanging="360"/>
      </w:pPr>
      <w:r>
        <w:t>Recommendation learning occurs only after outcomes and never mutates models during an active rally.</w:t>
      </w:r>
    </w:p>
    <w:p>
      <w:pPr>
        <w:pStyle w:val="ListBullet"/>
        <w:ind w:left="720" w:hanging="360"/>
      </w:pPr>
      <w:r>
        <w:t>The PWA remains Vanilla JavaScript and offline-capable; evolution is incremental and reversible.</w:t>
      </w:r>
    </w:p>
    <w:p>
      <w:pPr>
        <w:spacing w:before="100" w:after="160"/>
        <w:ind w:left="216" w:right="216"/>
        <w:shd w:fill="F4F6F9"/>
      </w:pPr>
      <w:r>
        <w:rPr>
          <w:rFonts w:ascii="Calibri" w:hAnsi="Calibri"/>
          <w:b/>
          <w:color w:val="2E74B5"/>
        </w:rPr>
        <w:t xml:space="preserve">Definition of done  </w:t>
      </w:r>
      <w:r>
        <w:t>The roadmap is complete when each subsystem is independently testable, every persistent transition is versioned and replayable, every inference is evidence-backed, offline capture cannot lose accepted observations, and the current production behaviors remain protected by the serial regression matrix.</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6"/>
      </w:rPr>
      <w:t>Architecture Version 2.0  •  26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4748B"/>
        <w:sz w:val="17"/>
      </w:rPr>
      <w:t>CANNONMAP  |  IMPLEMENTATION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16" w:right="216"/>
    </w:pPr>
    <w:rPr>
      <w:rFonts w:ascii="Consolas" w:hAnsi="Consolas"/>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CannonMap Implementation Roadmap — Architecture Version 2.0</dc:title>
  <dc:subject>Incremental implementation plan for the approved CannonMap architecture</dc:subject>
  <dc:creator>CannonMap Engineering</dc:creator>
  <cp:keywords>CannonMap, architecture, roadmap, Firebase, IndexedDB, offline, intelligence</cp:keywords>
  <dc:description>generated by python-docx</dc:description>
  <cp:lastModifiedBy/>
  <cp:revision>1</cp:revision>
  <dcterms:created xsi:type="dcterms:W3CDTF">2013-12-23T23:15:00Z</dcterms:created>
  <dcterms:modified xsi:type="dcterms:W3CDTF">2013-12-23T23:15:00Z</dcterms:modified>
  <cp:category/>
</cp:coreProperties>
</file>