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/>
      </w:pPr>
    </w:p>
    <w:p>
      <w:pPr>
        <w:spacing w:after="80"/>
        <w:jc w:val="center"/>
      </w:pPr>
      <w:r>
        <w:rPr>
          <w:b/>
          <w:bCs/>
          <w:color w:val="1F4E79"/>
          <w:sz w:val="56"/>
          <w:szCs w:val="56"/>
        </w:rPr>
        <w:t xml:space="preserve">SL1PCONNECT S.A.S.</w:t>
      </w:r>
    </w:p>
    <w:p>
      <w:pPr>
        <w:spacing w:after="320"/>
        <w:jc w:val="center"/>
      </w:pPr>
      <w:r>
        <w:rPr>
          <w:color w:val="595959"/>
          <w:sz w:val="24"/>
          <w:szCs w:val="24"/>
        </w:rPr>
        <w:t xml:space="preserve">Sous-vêtements de luxe connectés • HealthTech / IoT</w:t>
      </w:r>
    </w:p>
    <w:p>
      <w:pPr>
        <w:pBdr>
          <w:top w:val="single" w:color="2E75B6" w:sz="12"/>
          <w:bottom w:val="single" w:color="2E75B6" w:sz="12"/>
        </w:pBdr>
        <w:spacing w:after="160" w:before="160"/>
        <w:jc w:val="center"/>
      </w:pPr>
      <w:r>
        <w:rPr>
          <w:b/>
          <w:bCs/>
          <w:color w:val="2E75B6"/>
          <w:sz w:val="52"/>
          <w:szCs w:val="52"/>
        </w:rPr>
        <w:t xml:space="preserve">DOSSIER D’ARCHITECTURE CIBLE</w:t>
      </w:r>
    </w:p>
    <w:p>
      <w:pPr>
        <w:spacing w:after="80" w:before="240"/>
        <w:jc w:val="center"/>
      </w:pPr>
      <w:r>
        <w:rPr>
          <w:color w:val="595959"/>
          <w:sz w:val="28"/>
          <w:szCs w:val="28"/>
        </w:rPr>
        <w:t xml:space="preserve">Virtualisation • Conteneurisation • Orchestration</w:t>
      </w:r>
    </w:p>
    <w:p>
      <w:pPr>
        <w:spacing w:after="80"/>
        <w:jc w:val="center"/>
      </w:pPr>
      <w:r>
        <w:rPr>
          <w:color w:val="595959"/>
          <w:sz w:val="24"/>
          <w:szCs w:val="24"/>
        </w:rPr>
        <w:t xml:space="preserve">Infrastructure IaC • CI/CD • Supervision • Sécurité</w:t>
      </w:r>
    </w:p>
    <w:p>
      <w:pPr>
        <w:spacing w:before="1440"/>
      </w:pPr>
    </w:p>
    <w:p>
      <w:pPr>
        <w:jc w:val="center"/>
      </w:pPr>
      <w:r>
        <w:rPr>
          <w:color w:val="595959"/>
          <w:sz w:val="22"/>
          <w:szCs w:val="22"/>
        </w:rPr>
        <w:t xml:space="preserve">Version 1.0 — Juin 2026</w:t>
      </w:r>
    </w:p>
    <w:p>
      <w:r>
        <w:br w:type="page"/>
      </w:r>
    </w:p>
    <w:sdt>
      <w:sdtPr>
        <w:alias w:val="Table des matière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Synthèse exécutive</w:t>
      </w:r>
    </w:p>
    <w:p>
      <w:pPr>
        <w:spacing w:after="120" w:before="0"/>
        <w:jc w:val="left"/>
      </w:pPr>
      <w:r>
        <w:rPr>
          <w:b w:val="false"/>
          <w:bCs w:val="false"/>
          <w:color w:val="000000"/>
          <w:sz w:val="24"/>
          <w:szCs w:val="24"/>
        </w:rPr>
        <w:t xml:space="preserve">SL1PCONNECT est une scale-up de 666 collaborateurs dont l’infrastructure souffre d’une dette technique majeure : serveurs bare-metal sans virtualisation au siège de Nice, hôte Docker unique (SPOF) en cloud OVH, absence de CI/CD, de supervision et d’IaC.</w:t>
      </w:r>
    </w:p>
    <w:p>
      <w:pPr>
        <w:spacing w:after="120" w:before="0"/>
        <w:jc w:val="left"/>
      </w:pPr>
      <w:r>
        <w:rPr>
          <w:b w:val="false"/>
          <w:bCs w:val="false"/>
          <w:color w:val="000000"/>
          <w:sz w:val="24"/>
          <w:szCs w:val="24"/>
        </w:rPr>
        <w:t xml:space="preserve">Face à une levée de fonds Série B de 24 M€ et une expansion européenne imminente, cette architecture ne répond plus aux exigences de disponibilité, de sécurité (données de santé RGPD/HDS) ni de scalabilité.</w:t>
      </w:r>
    </w:p>
    <w:p>
      <w:pPr>
        <w:spacing w:after="120" w:before="0"/>
        <w:jc w:val="left"/>
      </w:pPr>
      <w:r>
        <w:rPr>
          <w:b w:val="false"/>
          <w:bCs w:val="false"/>
          <w:color w:val="000000"/>
          <w:sz w:val="24"/>
          <w:szCs w:val="24"/>
        </w:rPr>
        <w:t xml:space="preserve">Ce dossier présente l’architecture cible retenue :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Zone A (Nice) : consolidation sur Proxmox VE en cluster HA, segmentation VLAN, sauvegardes chiffrées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Zone B (OVH) : re-conteneurisation des 4 services IoT avec Docker Compose durci, réseaux isolés, gestion des secrets, reverse proxy Traefik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Briques transverses : forge Gitea + Woodpecker CI, registre Harbor, supervision Prometheus/Grafana, logs Loki, secrets Vault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Migration progressive en 12 semaines avec rollback à chaque étape</w:t>
      </w:r>
    </w:p>
    <w:p>
      <w:r>
        <w:br w:type="page"/>
      </w:r>
    </w:p>
    <w:p>
      <w:pPr>
        <w:pStyle w:val="Heading1"/>
      </w:pPr>
      <w:r>
        <w:t xml:space="preserve">2. Analyse de l’existant et de la dette technique</w:t>
      </w:r>
    </w:p>
    <w:p>
      <w:pPr>
        <w:pStyle w:val="Heading2"/>
      </w:pPr>
      <w:r>
        <w:t xml:space="preserve">2.1 Zone A — Siège Nice (on-premise)</w:t>
      </w:r>
    </w:p>
    <w:p>
      <w:pPr>
        <w:spacing w:after="120" w:before="0"/>
        <w:jc w:val="left"/>
      </w:pPr>
      <w:r>
        <w:rPr>
          <w:b w:val="false"/>
          <w:bCs w:val="false"/>
          <w:color w:val="000000"/>
          <w:sz w:val="24"/>
          <w:szCs w:val="24"/>
        </w:rPr>
        <w:t xml:space="preserve">Serveurs physiques hétérogènes sans hyperviseur. Aucune consolidation, aucun snapshot, aucune haute disponibilité. Le pare-feu Stormshield SN1100 assure la segmentation, mais les postes clients incluent 1 poste Windows XP et 9 Windows 7 hors support, exposant le SI à des vulnérabilités connues non corrigées.</w:t>
      </w:r>
    </w:p>
    <w:p>
      <w:pPr>
        <w:pStyle w:val="Heading2"/>
      </w:pPr>
      <w:r>
        <w:t xml:space="preserve">2.2 Zone B — Plateforme IoT OVH (cloud)</w:t>
      </w:r>
    </w:p>
    <w:p>
      <w:pPr>
        <w:spacing w:after="120" w:before="0"/>
        <w:jc w:val="left"/>
      </w:pPr>
      <w:r>
        <w:rPr>
          <w:b w:val="false"/>
          <w:bCs w:val="false"/>
          <w:color w:val="000000"/>
          <w:sz w:val="24"/>
          <w:szCs w:val="24"/>
        </w:rPr>
        <w:t xml:space="preserve">Quatre services Docker (thread-api, tailor-panel, stitch-processor, fabric-watch) déployés sur un hôte unique app-lycra. Pas d’orchestration, pas de redondance.</w:t>
      </w:r>
    </w:p>
    <w:p>
      <w:pPr>
        <w:pStyle w:val="Heading2"/>
      </w:pPr>
      <w:r>
        <w:t xml:space="preserve">2.3 Inventaire des vulnérabilités critiques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3000"/>
        <w:gridCol w:w="1600"/>
      </w:tblGrid>
      <w:tr>
        <w:tc>
          <w:tcPr>
            <w:tcW w:type="dxa" w:w="4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Vulnérabilité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Criticité</w:t>
            </w:r>
          </w:p>
        </w:tc>
      </w:tr>
      <w:tr>
        <w:tc>
          <w:tcPr>
            <w:tcW w:type="dxa" w:w="4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Conteneurs lancés en root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Escalade de privilèges triviale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Critique</w:t>
            </w:r>
          </w:p>
        </w:tc>
      </w:tr>
      <w:tr>
        <w:tc>
          <w:tcPr>
            <w:tcW w:type="dxa" w:w="4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docker.sock monté dans un conteneur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Évasion de conteneur, contrôle total de l’hôte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Critique</w:t>
            </w:r>
          </w:p>
        </w:tc>
      </w:tr>
      <w:tr>
        <w:tc>
          <w:tcPr>
            <w:tcW w:type="dxa" w:w="4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Secrets en clair dans docker-compose.yml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Exfiltration de données / accès BDD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Critique</w:t>
            </w:r>
          </w:p>
        </w:tc>
      </w:tr>
      <w:tr>
        <w:tc>
          <w:tcPr>
            <w:tcW w:type="dxa" w:w="4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Accès ex-stagiaire non révoqué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Accès non autorisé persistant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Critique</w:t>
            </w:r>
          </w:p>
        </w:tc>
      </w:tr>
      <w:tr>
        <w:tc>
          <w:tcPr>
            <w:tcW w:type="dxa" w:w="4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Réseau bridge partagé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Lateral movement entre services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Élevé</w:t>
            </w:r>
          </w:p>
        </w:tc>
      </w:tr>
      <w:tr>
        <w:tc>
          <w:tcPr>
            <w:tcW w:type="dxa" w:w="4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Images non scannées depuis 6+ mois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CVE non patchées en production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Élevé</w:t>
            </w:r>
          </w:p>
        </w:tc>
      </w:tr>
      <w:tr>
        <w:tc>
          <w:tcPr>
            <w:tcW w:type="dxa" w:w="4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Sauvegardes OVH non chiffrées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Non-conformité RGPD, données de santé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Élevé</w:t>
            </w:r>
          </w:p>
        </w:tc>
      </w:tr>
      <w:tr>
        <w:tc>
          <w:tcPr>
            <w:tcW w:type="dxa" w:w="4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Pas de pipeline CI/CD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Déploiements manuels risqués le vendredi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Modéré</w:t>
            </w:r>
          </w:p>
        </w:tc>
      </w:tr>
      <w:tr>
        <w:tc>
          <w:tcPr>
            <w:tcW w:type="dxa" w:w="4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Dev/preprod/prod mélangés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Données réelles en recette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Modéré</w:t>
            </w:r>
          </w:p>
        </w:tc>
      </w:tr>
      <w:tr>
        <w:tc>
          <w:tcPr>
            <w:tcW w:type="dxa" w:w="4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Postes XP/Win7 hors support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Vecteur d’attaque réseau interne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Élevé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Choix de l’hyperviseur</w:t>
      </w:r>
    </w:p>
    <w:p>
      <w:pPr>
        <w:pStyle w:val="Heading2"/>
      </w:pPr>
      <w:r>
        <w:t xml:space="preserve">3.1 Comparatif des solutions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2200"/>
        <w:gridCol w:w="1900"/>
      </w:tblGrid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Critère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Proxmox VE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VMware vSphere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XCP-ng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Licence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Open-source (AGPLv3)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Propriétaire (coûteux)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Open-source (XenServer fork)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Interface web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Intégrée, moderne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vCenter (lourd)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XO (Xen Orchestra)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Cluster HA natif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Oui (Corosync/DRBD)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Oui (vSAN payant)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Oui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Support LXC + KVM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Oui (double stratégie)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Non (VMs uniquement)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Non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Proxmox Backup Server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Natif, incrémental, chiffré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vSphere Backup tiers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Xen Orchestra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Coût pour 3 nœuds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0€ + support optionnel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~15 000€/an min.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0€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Communauté / maturité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Très active, 10+ ans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Très mature, écosystème large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Active, plus jeune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Compatibilité matériel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Linux (large)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Certified HCL strict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Linux (large)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3.2 Choix retenu : Proxmox VE</w:t>
      </w:r>
    </w:p>
    <w:p>
      <w:pPr>
        <w:spacing w:after="120" w:before="0"/>
        <w:jc w:val="left"/>
      </w:pPr>
      <w:r>
        <w:rPr>
          <w:b w:val="false"/>
          <w:bCs w:val="false"/>
          <w:color w:val="000000"/>
          <w:sz w:val="24"/>
          <w:szCs w:val="24"/>
        </w:rPr>
        <w:t xml:space="preserve">Proxmox VE est retenu pour les raisons suivantes :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Zéro coût de licence, adapté au budget d’une scale-up en Série B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Support natif KVM (VMs) et LXC (conteneurs légers), offrant flexibilité maximale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Cluster HA sur 3 nœuds avec Proxmox Backup Server intégré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Sauvegardes incrémentales et chiffrées AES-256 natives — requis pour les données de santé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Migration live (VM live migration) sans interruption de service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Intégration native avec Ceph pour le stockage distribué si croissance future</w:t>
      </w:r>
    </w:p>
    <w:p>
      <w:pPr>
        <w:pStyle w:val="Heading2"/>
      </w:pPr>
      <w:r>
        <w:t xml:space="preserve">3.3 Architecture du cluster Proxmox</w:t>
      </w:r>
    </w:p>
    <w:p>
      <w:pPr>
        <w:spacing w:after="120" w:before="0"/>
        <w:jc w:val="left"/>
      </w:pPr>
      <w:r>
        <w:rPr>
          <w:b w:val="false"/>
          <w:bCs w:val="false"/>
          <w:color w:val="000000"/>
          <w:sz w:val="24"/>
          <w:szCs w:val="24"/>
        </w:rPr>
        <w:t xml:space="preserve">Trois nœuds physiques forment le cluster HA. Le quorum est assuré par Corosync (3 votes). Le stockage partagé est assuré par NFS ou Ceph selon budget.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2800"/>
        <w:gridCol w:w="2300"/>
      </w:tblGrid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Nœud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Rôle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VMs hébergées</w:t>
            </w:r>
          </w:p>
        </w:tc>
        <w:tc>
          <w:tcPr>
            <w:tcW w:type="dxa" w:w="2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Stockage local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pve-node1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Node principal + PBS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DNS, Web, SFTP, GitLab</w:t>
            </w:r>
          </w:p>
        </w:tc>
        <w:tc>
          <w:tcPr>
            <w:tcW w:type="dxa" w:w="2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 To NVMe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pve-node2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Node secondaire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BDD, Supervision, Vault</w:t>
            </w:r>
          </w:p>
        </w:tc>
        <w:tc>
          <w:tcPr>
            <w:tcW w:type="dxa" w:w="2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 To NVMe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pve-node3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Node tertaire + Quorum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AD, Métier, Staging</w:t>
            </w:r>
          </w:p>
        </w:tc>
        <w:tc>
          <w:tcPr>
            <w:tcW w:type="dxa" w:w="2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 To NVMe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Architecture cible Zone A — Siège Nice</w:t>
      </w:r>
    </w:p>
    <w:p>
      <w:pPr>
        <w:pStyle w:val="Heading2"/>
      </w:pPr>
      <w:r>
        <w:t xml:space="preserve">4.1 Plan de consolidation des VMs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700"/>
        <w:gridCol w:w="800"/>
        <w:gridCol w:w="900"/>
        <w:gridCol w:w="1100"/>
        <w:gridCol w:w="3200"/>
      </w:tblGrid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VM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OS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vCPU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RAM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Stockage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vm-dns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Debian 12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 Go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 Go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DNS autoritaire + résolveur (Bind9)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vm-web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Debian 12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 Go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40 Go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Reverse proxy Nginx + WAF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vm-sftp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Debian 12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 Go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500 Go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SFTP + chiffrement at-rest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vm-bdd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Debian 12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16 Go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500 Go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PostgreSQL 16 + réplication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vm-ad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Windows Server 2022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8 Go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80 Go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Active Directory + GPO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vm-gitlab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Debian 12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16 Go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200 Go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Gitea + Woodpecker CI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vm-supervision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Debian 12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8 Go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200 Go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Prometheus + Grafana + Loki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vm-vault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Debian 12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 Go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50 Go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HashiCorp Vault (secrets)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vm-staging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Debian 12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8 Go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100 Go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Environnement pré-prod isolé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4.2 Segmentation réseau et plan d’adressage (Zone A)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500"/>
        <w:gridCol w:w="1500"/>
        <w:gridCol w:w="2200"/>
        <w:gridCol w:w="3000"/>
      </w:tblGrid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VLAN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Réseau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Passerelle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Usage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Firewall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VLAN 10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192.168.10.0/24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192.168.10.1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DMZ — DNS, Web publics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Drop all in / permit http(s)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VLAN 20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192.168.20.0/24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192.168.20.1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SFTP — transferts fichiers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Permit SFTP (22) authenticated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VLAN 30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192.168.30.0/24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192.168.30.1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BDD — bases de données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Permit 5432 from app only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VLAN 40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192.168.40.0/24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192.168.40.1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AD / Annuaire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Permit from internal VLANs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VLAN 50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192.168.50.0/24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192.168.50.1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Métier — serveurs applicatifs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Statefull, permit from AD+BDD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VLAN 60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192.168.60.0/24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192.168.60.1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Postes clients (224 postes)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Internet permit, BDD deny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VLAN 70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192.168.70.0/24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192.168.70.1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Administration / Supervision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Bastion SSH uniquement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VLAN 80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192.168.80.0/24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192.168.80.1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Forge (Gitea, Harbor, Vault)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Permit from admin+metier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VLAN 90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192.168.90.0/24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192.168.90.1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Staging / Pré-prod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Isolé, no prod data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Haute disponibilité et stratégie de sauvegarde</w:t>
      </w:r>
    </w:p>
    <w:p>
      <w:pPr>
        <w:spacing w:after="120" w:before="0"/>
        <w:jc w:val="left"/>
      </w:pPr>
      <w:r>
        <w:rPr>
          <w:b w:val="false"/>
          <w:bCs w:val="false"/>
          <w:color w:val="000000"/>
          <w:sz w:val="24"/>
          <w:szCs w:val="24"/>
        </w:rPr>
        <w:t xml:space="preserve">Tous les VMs critiques sont configurés avec HA Group dans Proxmox. En cas de défaillance d’un nœud, les VMs redémarrent automatiquement sur un nœud disponible en moins de 60 secondes.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Snapshots Proxmox : quotidiens (rétention 7 jours), hebdomadaires (rétention 4 semaines)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Proxmox Backup Server (PBS) : sauvegardes incrémentales AES-256, dédupliquées, vers NAS-SATIN via tunnel chiffré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Règle 3-2-1 : 3 copies, 2 médias différents (NVMe local + PBS + externalisation Marseille DC)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RTO &lt; 4h / RPO &lt; 24h pour les services métier, RTO &lt; 1h / RPO &lt; 1h pour les services IoT</w:t>
      </w:r>
    </w:p>
    <w:p>
      <w:r>
        <w:br w:type="page"/>
      </w:r>
    </w:p>
    <w:p>
      <w:pPr>
        <w:pStyle w:val="Heading1"/>
      </w:pPr>
      <w:r>
        <w:t xml:space="preserve">5. Architecture cible Zone B — Plateforme IoT OVH</w:t>
      </w:r>
    </w:p>
    <w:p>
      <w:pPr>
        <w:pStyle w:val="Heading2"/>
      </w:pPr>
      <w:r>
        <w:t xml:space="preserve">5.1 Choix d’orchestration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1200"/>
        <w:gridCol w:w="2000"/>
        <w:gridCol w:w="2300"/>
      </w:tblGrid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Solution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Complexité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HA natif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Adapté à 4 services</w:t>
            </w:r>
          </w:p>
        </w:tc>
        <w:tc>
          <w:tcPr>
            <w:tcW w:type="dxa" w:w="2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Maintenance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Docker Compose durci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Faible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Non (redémarrage auto)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Oui (idéal)</w:t>
            </w:r>
          </w:p>
        </w:tc>
        <w:tc>
          <w:tcPr>
            <w:tcW w:type="dxa" w:w="2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Minimale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Docker Swarm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Moyenne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Oui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Oui</w:t>
            </w:r>
          </w:p>
        </w:tc>
        <w:tc>
          <w:tcPr>
            <w:tcW w:type="dxa" w:w="2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Faible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k3s (Kubernetes léger)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Élevée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Oui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Sur-dimensionné</w:t>
            </w:r>
          </w:p>
        </w:tc>
        <w:tc>
          <w:tcPr>
            <w:tcW w:type="dxa" w:w="2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Élevée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Kubernetes full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Très élevée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Oui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Sur-dimensionné</w:t>
            </w:r>
          </w:p>
        </w:tc>
        <w:tc>
          <w:tcPr>
            <w:tcW w:type="dxa" w:w="2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Très élevée</w:t>
            </w:r>
          </w:p>
        </w:tc>
      </w:tr>
    </w:tbl>
    <w:p>
      <w:pPr>
        <w:spacing w:after="80"/>
      </w:pPr>
    </w:p>
    <w:p>
      <w:pPr>
        <w:spacing w:after="160" w:before="0"/>
        <w:jc w:val="left"/>
      </w:pPr>
      <w:r>
        <w:rPr>
          <w:b w:val="false"/>
          <w:bCs w:val="false"/>
          <w:color w:val="000000"/>
          <w:sz w:val="24"/>
          <w:szCs w:val="24"/>
        </w:rPr>
        <w:t xml:space="preserve">Docker Compose durci est retenu pour la phase initiale. Avec seulement 4 microservices, la complexité opérationnelle de Kubernetes serait disproportionnée. Une migration vers Swarm ou k3s est prévue si le nombre de services dépasse 10 ou si les exigences de scalabilité l’imposent.</w:t>
      </w:r>
    </w:p>
    <w:p>
      <w:pPr>
        <w:pStyle w:val="Heading2"/>
      </w:pPr>
      <w:r>
        <w:t xml:space="preserve">5.2 Architecture réseau des conteneurs</w:t>
      </w:r>
    </w:p>
    <w:p>
      <w:pPr>
        <w:spacing w:after="120" w:before="0"/>
        <w:jc w:val="left"/>
      </w:pPr>
      <w:r>
        <w:rPr>
          <w:b w:val="false"/>
          <w:bCs w:val="false"/>
          <w:color w:val="000000"/>
          <w:sz w:val="24"/>
          <w:szCs w:val="24"/>
        </w:rPr>
        <w:t xml:space="preserve">Chaque couche (front, API, data) dispose de son propre réseau Docker. Les conteneurs ne peuvent communiquer qu’avec les réseaux auxquels ils sont explicitement rattachés.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2800"/>
        <w:gridCol w:w="2900"/>
      </w:tblGrid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Réseau Docker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Sous-réseau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Conteneurs autorisés</w:t>
            </w:r>
          </w:p>
        </w:tc>
        <w:tc>
          <w:tcPr>
            <w:tcW w:type="dxa" w:w="2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Accès externe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net-front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172.20.1.0/24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traefik, tailor-panel</w:t>
            </w:r>
          </w:p>
        </w:tc>
        <w:tc>
          <w:tcPr>
            <w:tcW w:type="dxa" w:w="2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Oui (via Traefik)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net-api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172.20.2.0/24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traefik, thread-api, stitch-processor</w:t>
            </w:r>
          </w:p>
        </w:tc>
        <w:tc>
          <w:tcPr>
            <w:tcW w:type="dxa" w:w="2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Non (interne)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net-data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172.20.3.0/24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thread-api, stitch-processor, db-velvet, nas-satin</w:t>
            </w:r>
          </w:p>
        </w:tc>
        <w:tc>
          <w:tcPr>
            <w:tcW w:type="dxa" w:w="2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Non (isolé)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net-monitoring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172.20.4.0/24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prometheus, grafana, loki, fabric-watch</w:t>
            </w:r>
          </w:p>
        </w:tc>
        <w:tc>
          <w:tcPr>
            <w:tcW w:type="dxa" w:w="2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Grafana uniquement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net-admin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172.20.5.0/24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traefik (dashboard), portainer</w:t>
            </w:r>
          </w:p>
        </w:tc>
        <w:tc>
          <w:tcPr>
            <w:tcW w:type="dxa" w:w="2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VPN uniquement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5.3 Re-conteneurisation des 4 services IoT</w:t>
      </w:r>
    </w:p>
    <w:p>
      <w:pPr>
        <w:spacing w:after="120" w:before="0"/>
        <w:jc w:val="left"/>
      </w:pPr>
      <w:r>
        <w:rPr>
          <w:b w:val="false"/>
          <w:bCs w:val="false"/>
          <w:color w:val="000000"/>
          <w:sz w:val="24"/>
          <w:szCs w:val="24"/>
        </w:rPr>
        <w:t xml:space="preserve">Chaque Dockerfile respecte les principes suivants :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Image de base officielle, tag fixe (pas de :latest)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Build multi-stage : builder + runtime minimal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Utilisateur non-root dédié (UID 1001)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Suppression des packages de build en runtime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HEALTHCHECK défini dans chaque Dockerfile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Scan Trivy intégré dans le pipeline CI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400"/>
        <w:gridCol w:w="1900"/>
        <w:gridCol w:w="1800"/>
        <w:gridCol w:w="2200"/>
      </w:tblGrid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Port interne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Image base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Utilisateur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Réseau(x)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thread-api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8080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python:3.12-slim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appuser (1001)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net-api, net-data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tailor-panel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8081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node:20-alpine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appuser (1001)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net-front, net-api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stitch-processor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8082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python:3.12-slim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appuser (1001)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net-api, net-data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fabric-watch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9090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python:3.12-slim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appuser (1001)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net-monitoring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5.4 Reverse proxy Traefik</w:t>
      </w:r>
    </w:p>
    <w:p>
      <w:pPr>
        <w:spacing w:after="120" w:before="0"/>
        <w:jc w:val="left"/>
      </w:pPr>
      <w:r>
        <w:rPr>
          <w:b w:val="false"/>
          <w:bCs w:val="false"/>
          <w:color w:val="000000"/>
          <w:sz w:val="24"/>
          <w:szCs w:val="24"/>
        </w:rPr>
        <w:t xml:space="preserve">Traefik v3 est utilisé comme reverse proxy et terminaison TLS. Il gère automatiquement les certificats Let's Encrypt via ACME. Les routes sont définies par labels Docker, éliminant toute configuration manuelle.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TLS 1.2+ obligé, HTTP redirigé vers HTTPS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Middleware de rate-limiting : 100 req/s par IP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Dashboard Traefik accessible uniquement via réseau net-admin (VPN)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Headers de sécurité : HSTS, X-Frame-Options, CSP</w:t>
      </w:r>
    </w:p>
    <w:p>
      <w:pPr>
        <w:pStyle w:val="Heading2"/>
      </w:pPr>
      <w:r>
        <w:t xml:space="preserve">5.5 Gestion des secrets</w:t>
      </w:r>
    </w:p>
    <w:p>
      <w:pPr>
        <w:spacing w:after="120" w:before="0"/>
        <w:jc w:val="left"/>
      </w:pPr>
      <w:r>
        <w:rPr>
          <w:b w:val="false"/>
          <w:bCs w:val="false"/>
          <w:color w:val="000000"/>
          <w:sz w:val="24"/>
          <w:szCs w:val="24"/>
        </w:rPr>
        <w:t xml:space="preserve">Les secrets ne transitent plus en clair dans les variables d’environnement ni dans les fichiers de configuration versionnés.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Phase 1 (immédiat) : Docker Secrets pour mots de passe BDD, tokens API, clés SSL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Phase 2 (6 mois) : HashiCorp Vault avec injection dynamique via API, rotation automatique des credentials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Fichiers .env exclus du dépôt Git (.gitignore strict), template .env.example fourni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Scan de secrets dans le pipeline CI (Gitleaks)</w:t>
      </w:r>
    </w:p>
    <w:p>
      <w:r>
        <w:br w:type="page"/>
      </w:r>
    </w:p>
    <w:p>
      <w:pPr>
        <w:pStyle w:val="Heading1"/>
      </w:pPr>
      <w:r>
        <w:t xml:space="preserve">6. Briques complémentaires</w:t>
      </w:r>
    </w:p>
    <w:p>
      <w:pPr>
        <w:pStyle w:val="Heading2"/>
      </w:pPr>
      <w:r>
        <w:t xml:space="preserve">6.1 Forge logicielle et CI/CD</w:t>
      </w:r>
    </w:p>
    <w:p>
      <w:pPr>
        <w:spacing w:after="120" w:before="0"/>
        <w:jc w:val="left"/>
      </w:pPr>
      <w:r>
        <w:rPr>
          <w:b w:val="false"/>
          <w:bCs w:val="false"/>
          <w:color w:val="000000"/>
          <w:sz w:val="24"/>
          <w:szCs w:val="24"/>
        </w:rPr>
        <w:t xml:space="preserve">Gitea est retenu comme forge logicielle (alt. GitHub/GitLab) : léger, open-source, auto-hébergé sur vm-gitlab. Woodpecker CI assure l’intégration continue.</w:t>
      </w:r>
    </w:p>
    <w:p>
      <w:pPr>
        <w:spacing w:after="120" w:before="0"/>
        <w:jc w:val="left"/>
      </w:pPr>
      <w:r>
        <w:rPr>
          <w:b w:val="false"/>
          <w:bCs w:val="false"/>
          <w:color w:val="000000"/>
          <w:sz w:val="24"/>
          <w:szCs w:val="24"/>
        </w:rPr>
        <w:t xml:space="preserve">Pipeline CI/CD pour chaque service IoT :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lint : analyse statique du code (pylint, eslint)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test : tests unitaires et d’intégration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build : construction de l’image Docker avec tag SHA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scan : analyse de vulnérabilités Trivy (bloquant si CRITICAL)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push : publication vers Harbor Registry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deploy : mise à jour via docker compose pull + up -d (sans interruption)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notify : notification Slack/email en cas d’échec</w:t>
      </w:r>
    </w:p>
    <w:p>
      <w:pPr>
        <w:pStyle w:val="Heading2"/>
      </w:pPr>
      <w:r>
        <w:t xml:space="preserve">6.2 Registre d’images Harbor</w:t>
      </w:r>
    </w:p>
    <w:p>
      <w:pPr>
        <w:spacing w:after="120" w:before="0"/>
        <w:jc w:val="left"/>
      </w:pPr>
      <w:r>
        <w:rPr>
          <w:b w:val="false"/>
          <w:bCs w:val="false"/>
          <w:color w:val="000000"/>
          <w:sz w:val="24"/>
          <w:szCs w:val="24"/>
        </w:rPr>
        <w:t xml:space="preserve">Harbor est déployé sur vm-gitlab pour stocker et signer les images Docker. Il intègre Trivy pour le scan de vulnérabilités à la poussée. Seules les images signées (Notary v2) sont autorisées en production.</w:t>
      </w:r>
    </w:p>
    <w:p>
      <w:pPr>
        <w:pStyle w:val="Heading2"/>
      </w:pPr>
      <w:r>
        <w:t xml:space="preserve">6.3 Supervision et métriques</w:t>
      </w:r>
    </w:p>
    <w:p>
      <w:pPr>
        <w:spacing w:after="120" w:before="0"/>
        <w:jc w:val="left"/>
      </w:pPr>
      <w:r>
        <w:rPr>
          <w:b w:val="false"/>
          <w:bCs w:val="false"/>
          <w:color w:val="000000"/>
          <w:sz w:val="24"/>
          <w:szCs w:val="24"/>
        </w:rPr>
        <w:t xml:space="preserve">Stack Prometheus + Grafana déployée sur vm-supervision (Zone A) et sur net-monitoring (Zone B).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Prometheus : scrape toutes les 15s, rétention 30 jours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Alertmanager : alertes vers PagerDuty (critique) et Slack (avertissement)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Grafana : tableaux de bord pré-configurés (IoT, infrastructure, BDD, CI/CD)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node_exporter sur chaque VM, cAdvisor sur les hôtes Docker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fabric-watch (port 9090) expose les métriques métier IoT (capteurs, connexions BLE)</w:t>
      </w:r>
    </w:p>
    <w:p>
      <w:pPr>
        <w:pStyle w:val="Heading2"/>
      </w:pPr>
      <w:r>
        <w:t xml:space="preserve">6.4 Centralisation des logs</w:t>
      </w:r>
    </w:p>
    <w:p>
      <w:pPr>
        <w:spacing w:after="120" w:before="0"/>
        <w:jc w:val="left"/>
      </w:pPr>
      <w:r>
        <w:rPr>
          <w:b w:val="false"/>
          <w:bCs w:val="false"/>
          <w:color w:val="000000"/>
          <w:sz w:val="24"/>
          <w:szCs w:val="24"/>
        </w:rPr>
        <w:t xml:space="preserve">Stack Loki + Promtail + Grafana (affichage intégré). Chaque conteneur envoie ses logs via Promtail. Les logs sont indexés par service, environnement et niveau.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Rétention : 90 jours en ligne, archivage S3/OVH Object Storage 1 an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Alertes sur patterns d’erreur (regex Loki Rules)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Pas d’ELK : trop lourd pour 4 services ; Loki est 5x moins consommateur en RAM</w:t>
      </w:r>
    </w:p>
    <w:p>
      <w:pPr>
        <w:pStyle w:val="Heading2"/>
      </w:pPr>
      <w:r>
        <w:t xml:space="preserve">6.5 Gestion des accès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Suppression immédiate de tous les accès de l’ex-stagiaire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Clés SSH individuelles par administrateur (suppression des clés partagées)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Bastion SSH (vm-bastion) : seul point d’entrée SSH vers l’infrastructure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Authentification MFA pour tous les accès administrateur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Revue des droits trimestrielle avec export AD</w:t>
      </w:r>
    </w:p>
    <w:p>
      <w:pPr>
        <w:pStyle w:val="Heading2"/>
      </w:pPr>
      <w:r>
        <w:t xml:space="preserve">6.6 Sauvegarde globale</w:t>
      </w:r>
    </w:p>
    <w:tbl>
      <w:tblPr>
        <w:tblW w:type="dxa" w:w="8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1400"/>
        <w:gridCol w:w="1600"/>
        <w:gridCol w:w="1300"/>
      </w:tblGrid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Données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Outil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Chiffrement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Fréquence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Rétention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VMs Proxmox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PBS (incremental)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AES-256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Quotidien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 jours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BDD PostgreSQL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pg_dump + restic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AES-256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Toutes les 4h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90 jours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Volumes Docker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restic vers OVH S3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AES-256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Quotidien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 jours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Code source (Gitea)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Gitea mirror + restic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AES-256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Toutes les 6h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 an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Secrets Vault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Vault snapshot chiffré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AES-256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Quotidien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 jours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Plan de migration</w:t>
      </w:r>
    </w:p>
    <w:p>
      <w:pPr>
        <w:spacing w:after="120" w:before="0"/>
        <w:jc w:val="left"/>
      </w:pPr>
      <w:r>
        <w:rPr>
          <w:b w:val="false"/>
          <w:bCs w:val="false"/>
          <w:color w:val="000000"/>
          <w:sz w:val="24"/>
          <w:szCs w:val="24"/>
        </w:rPr>
        <w:t xml:space="preserve">La migration suit une stratégie « strangler fig » : chaque service est migré individuellement, avec maintien de l’existant en parallèle jusqu’à validation en production.</w:t>
      </w:r>
    </w:p>
    <w:p>
      <w:pPr>
        <w:pStyle w:val="Heading2"/>
      </w:pPr>
      <w:r>
        <w:t xml:space="preserve">7.1 Phase 1 — Zone B OVH (Semaines 1–4) — URGENT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800"/>
        <w:gridCol w:w="3400"/>
      </w:tblGrid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Semaine</w:t>
            </w:r>
          </w:p>
        </w:tc>
        <w:tc>
          <w:tcPr>
            <w:tcW w:type="dxa" w:w="4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Actions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Validation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S1</w:t>
            </w:r>
          </w:p>
        </w:tc>
        <w:tc>
          <w:tcPr>
            <w:tcW w:type="dxa" w:w="4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Révocation accès ex-stagiaire. Audit complet des secrets. Rotation de TOUS les tokens/mots de passe.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Audit rapporté, aucun accès résiduel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S2</w:t>
            </w:r>
          </w:p>
        </w:tc>
        <w:tc>
          <w:tcPr>
            <w:tcW w:type="dxa" w:w="4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Déploiement Traefik + réseaux isolés. Re-conteneurisation thread-api en non-root. Mise en place Docker Secrets.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thread-api fonctionnel sur nouveau réseau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S3</w:t>
            </w:r>
          </w:p>
        </w:tc>
        <w:tc>
          <w:tcPr>
            <w:tcW w:type="dxa" w:w="4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Re-conteneurisation tailor-panel, stitch-processor, fabric-watch. Harbor Registry opérationnel.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 services sur nouvelle infra, monitoring actif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S4</w:t>
            </w:r>
          </w:p>
        </w:tc>
        <w:tc>
          <w:tcPr>
            <w:tcW w:type="dxa" w:w="4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Pipeline CI/CD Woodpecker. Scan Trivy. Documentation IaC. Basculement DNS.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Déploiement pipeline réussit, zéro downtime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7.2 Phase 2 — Zone A Nice (Semaines 5–12)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800"/>
        <w:gridCol w:w="3400"/>
      </w:tblGrid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Semaine</w:t>
            </w:r>
          </w:p>
        </w:tc>
        <w:tc>
          <w:tcPr>
            <w:tcW w:type="dxa" w:w="4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Actions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Validation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S5-S6</w:t>
            </w:r>
          </w:p>
        </w:tc>
        <w:tc>
          <w:tcPr>
            <w:tcW w:type="dxa" w:w="4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Installation et configuration cluster Proxmox 3 nœuds. Configuration réseau VLAN.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Cluster Proxmox HA opérationnel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S7-S8</w:t>
            </w:r>
          </w:p>
        </w:tc>
        <w:tc>
          <w:tcPr>
            <w:tcW w:type="dxa" w:w="4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Migration P2V : vm-dns, vm-web, vm-sftp (services non critiques en premier).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Services migrés, basculement DNS validé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S9-S10</w:t>
            </w:r>
          </w:p>
        </w:tc>
        <w:tc>
          <w:tcPr>
            <w:tcW w:type="dxa" w:w="4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Migration vm-bdd (PostgreSQL) avec réplication et bascule en fenêtre maintenance.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BDD HA, RPO/RTO testés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S11</w:t>
            </w:r>
          </w:p>
        </w:tc>
        <w:tc>
          <w:tcPr>
            <w:tcW w:type="dxa" w:w="4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Migration vm-ad, vm-supervision, vm-vault. Configuration PBS. Tests sauvegardes.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Sauvegardes vérifiées, restauration testée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S12</w:t>
            </w:r>
          </w:p>
        </w:tc>
        <w:tc>
          <w:tcPr>
            <w:tcW w:type="dxa" w:w="4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Isolation postes XP/Win7 sur VLAN dedié + firewall strict. Documentation finale.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Aucun poste hors support sur réseau principal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7.3 Stratégie de rollback</w:t>
      </w:r>
    </w:p>
    <w:p>
      <w:pPr>
        <w:spacing w:after="120" w:before="0"/>
        <w:jc w:val="left"/>
      </w:pPr>
      <w:r>
        <w:rPr>
          <w:b w:val="false"/>
          <w:bCs w:val="false"/>
          <w:color w:val="000000"/>
          <w:sz w:val="24"/>
          <w:szCs w:val="24"/>
        </w:rPr>
        <w:t xml:space="preserve">Chaque étape dispose d’un plan de rollback documenté :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Zone B : le basculement DNS se fait avec TTL réduit à 60s pour rollback en &lt; 5 min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Zone A : l’ancienne infrastructure physique reste opérationnelle jusqu’à S10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Snapshots Proxmox avant chaque migration (rollback en &lt; 30 min)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Tests de charge sur pré-prod avant chaque bascule prod</w:t>
      </w:r>
    </w:p>
    <w:p>
      <w:r>
        <w:br w:type="page"/>
      </w:r>
    </w:p>
    <w:p>
      <w:pPr>
        <w:pStyle w:val="Heading1"/>
      </w:pPr>
      <w:r>
        <w:t xml:space="preserve">8. Schéma d’architecture global (représentation textuelle)</w:t>
      </w:r>
    </w:p>
    <w:p>
      <w:pPr>
        <w:spacing w:after="120" w:before="0"/>
        <w:jc w:val="left"/>
      </w:pPr>
      <w:r>
        <w:rPr>
          <w:b w:val="false"/>
          <w:bCs w:val="false"/>
          <w:color w:val="000000"/>
          <w:sz w:val="24"/>
          <w:szCs w:val="24"/>
        </w:rPr>
        <w:t xml:space="preserve">Le schéma ci-dessous représente l’architecture cible. Un schéma Visio/Draw.io est fourni en annexe de la maquette.</w:t>
      </w:r>
    </w:p>
    <w:p>
      <w:pPr>
        <w:shd w:fill="1E1E1E" w:val="clear"/>
        <w:spacing w:after="100"/>
      </w:pPr>
      <w:r>
        <w:br/>
        <w:t xml:space="preserve"/>
      </w:r>
      <w:r>
        <w:rPr>
          <w:rFonts w:ascii="Courier New" w:cs="Courier New" w:eastAsia="Courier New" w:hAnsi="Courier New"/>
          <w:color w:val="00FF88"/>
          <w:sz w:val="18"/>
          <w:szCs w:val="18"/>
        </w:rPr>
        <w:t xml:space="preserve">INTERNET</w:t>
      </w:r>
      <w:r>
        <w:br/>
        <w:t xml:space="preserve"/>
      </w: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 |</w:t>
      </w:r>
      <w:r>
        <w:br/>
        <w:t xml:space="preserve"/>
      </w:r>
      <w:r>
        <w:rPr>
          <w:rFonts w:ascii="Courier New" w:cs="Courier New" w:eastAsia="Courier New" w:hAnsi="Courier New"/>
          <w:color w:val="00AAFF"/>
          <w:sz w:val="18"/>
          <w:szCs w:val="18"/>
        </w:rPr>
        <w:t xml:space="preserve">   +-- [Stormshield SN1100] -- VLAN Routing -- Proxmox Cluster (3 noeuds)</w:t>
      </w:r>
      <w:r>
        <w:br/>
        <w:t xml:space="preserve"/>
      </w:r>
      <w:r>
        <w:rPr>
          <w:rFonts w:ascii="Courier New" w:cs="Courier New" w:eastAsia="Courier New" w:hAnsi="Courier New"/>
          <w:color w:val="AAAAAA"/>
          <w:sz w:val="18"/>
          <w:szCs w:val="18"/>
        </w:rPr>
        <w:t xml:space="preserve">   |       VLAN10 DMZ (192.168.10/24)  vm-dns  vm-web</w:t>
      </w:r>
      <w:r>
        <w:br/>
        <w:t xml:space="preserve"/>
      </w:r>
      <w:r>
        <w:rPr>
          <w:rFonts w:ascii="Courier New" w:cs="Courier New" w:eastAsia="Courier New" w:hAnsi="Courier New"/>
          <w:color w:val="AAAAAA"/>
          <w:sz w:val="18"/>
          <w:szCs w:val="18"/>
        </w:rPr>
        <w:t xml:space="preserve">   |       VLAN30 BDD (192.168.30/24)  vm-bdd (PostgreSQL HA)</w:t>
      </w:r>
      <w:r>
        <w:br/>
        <w:t xml:space="preserve"/>
      </w:r>
      <w:r>
        <w:rPr>
          <w:rFonts w:ascii="Courier New" w:cs="Courier New" w:eastAsia="Courier New" w:hAnsi="Courier New"/>
          <w:color w:val="AAAAAA"/>
          <w:sz w:val="18"/>
          <w:szCs w:val="18"/>
        </w:rPr>
        <w:t xml:space="preserve">   |       VLAN40 AD  (192.168.40/24)  vm-ad</w:t>
      </w:r>
      <w:r>
        <w:br/>
        <w:t xml:space="preserve"/>
      </w:r>
      <w:r>
        <w:rPr>
          <w:rFonts w:ascii="Courier New" w:cs="Courier New" w:eastAsia="Courier New" w:hAnsi="Courier New"/>
          <w:color w:val="AAAAAA"/>
          <w:sz w:val="18"/>
          <w:szCs w:val="18"/>
        </w:rPr>
        <w:t xml:space="preserve">   |       VLAN70 ADM (192.168.70/24)  vm-supervision  vm-vault  Bastion</w:t>
      </w:r>
      <w:r>
        <w:br/>
        <w:t xml:space="preserve"/>
      </w:r>
      <w:r>
        <w:rPr>
          <w:rFonts w:ascii="Courier New" w:cs="Courier New" w:eastAsia="Courier New" w:hAnsi="Courier New"/>
          <w:color w:val="AAAAAA"/>
          <w:sz w:val="18"/>
          <w:szCs w:val="18"/>
        </w:rPr>
        <w:t xml:space="preserve">   |       VLAN80 FORGE(192.168.80/24) vm-gitlab (Gitea+Harbor+Woodpecker)</w:t>
      </w:r>
      <w:r>
        <w:br/>
        <w:t xml:space="preserve"/>
      </w: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 |</w:t>
      </w:r>
      <w:r>
        <w:br/>
        <w:t xml:space="preserve"/>
      </w:r>
      <w:r>
        <w:rPr>
          <w:rFonts w:ascii="Courier New" w:cs="Courier New" w:eastAsia="Courier New" w:hAnsi="Courier New"/>
          <w:color w:val="FFAA00"/>
          <w:sz w:val="18"/>
          <w:szCs w:val="18"/>
        </w:rPr>
        <w:t xml:space="preserve">   +-- [IPSec Tunnel] ---------- OVH Cloud (Zone B IoT)</w:t>
      </w:r>
      <w:r>
        <w:br/>
        <w:t xml:space="preserve"/>
      </w:r>
      <w:r>
        <w:rPr>
          <w:rFonts w:ascii="Courier New" w:cs="Courier New" w:eastAsia="Courier New" w:hAnsi="Courier New"/>
          <w:color w:val="AAAAAA"/>
          <w:sz w:val="18"/>
          <w:szCs w:val="18"/>
        </w:rPr>
        <w:t xml:space="preserve">           Traefik (TLS) -- net-front (172.20.1/24)</w:t>
      </w:r>
      <w:r>
        <w:br/>
        <w:t xml:space="preserve"/>
      </w:r>
      <w:r>
        <w:rPr>
          <w:rFonts w:ascii="Courier New" w:cs="Courier New" w:eastAsia="Courier New" w:hAnsi="Courier New"/>
          <w:color w:val="AAAAAA"/>
          <w:sz w:val="18"/>
          <w:szCs w:val="18"/>
        </w:rPr>
        <w:t xml:space="preserve">              |-- tailor-panel:8081</w:t>
      </w:r>
      <w:r>
        <w:br/>
        <w:t xml:space="preserve"/>
      </w:r>
      <w:r>
        <w:rPr>
          <w:rFonts w:ascii="Courier New" w:cs="Courier New" w:eastAsia="Courier New" w:hAnsi="Courier New"/>
          <w:color w:val="AAAAAA"/>
          <w:sz w:val="18"/>
          <w:szCs w:val="18"/>
        </w:rPr>
        <w:t xml:space="preserve">           net-api (172.20.2/24)</w:t>
      </w:r>
      <w:r>
        <w:br/>
        <w:t xml:space="preserve"/>
      </w:r>
      <w:r>
        <w:rPr>
          <w:rFonts w:ascii="Courier New" w:cs="Courier New" w:eastAsia="Courier New" w:hAnsi="Courier New"/>
          <w:color w:val="AAAAAA"/>
          <w:sz w:val="18"/>
          <w:szCs w:val="18"/>
        </w:rPr>
        <w:t xml:space="preserve">              |-- thread-api:8080</w:t>
      </w:r>
      <w:r>
        <w:br/>
        <w:t xml:space="preserve"/>
      </w:r>
      <w:r>
        <w:rPr>
          <w:rFonts w:ascii="Courier New" w:cs="Courier New" w:eastAsia="Courier New" w:hAnsi="Courier New"/>
          <w:color w:val="AAAAAA"/>
          <w:sz w:val="18"/>
          <w:szCs w:val="18"/>
        </w:rPr>
        <w:t xml:space="preserve">              |-- stitch-processor:8082</w:t>
      </w:r>
      <w:r>
        <w:br/>
        <w:t xml:space="preserve"/>
      </w:r>
      <w:r>
        <w:rPr>
          <w:rFonts w:ascii="Courier New" w:cs="Courier New" w:eastAsia="Courier New" w:hAnsi="Courier New"/>
          <w:color w:val="AAAAAA"/>
          <w:sz w:val="18"/>
          <w:szCs w:val="18"/>
        </w:rPr>
        <w:t xml:space="preserve">           net-data (172.20.3/24)</w:t>
      </w:r>
      <w:r>
        <w:br/>
        <w:t xml:space="preserve"/>
      </w:r>
      <w:r>
        <w:rPr>
          <w:rFonts w:ascii="Courier New" w:cs="Courier New" w:eastAsia="Courier New" w:hAnsi="Courier New"/>
          <w:color w:val="AAAAAA"/>
          <w:sz w:val="18"/>
          <w:szCs w:val="18"/>
        </w:rPr>
        <w:t xml:space="preserve">              |-- db-velvet (PostgreSQL)</w:t>
      </w:r>
      <w:r>
        <w:br/>
        <w:t xml:space="preserve"/>
      </w:r>
      <w:r>
        <w:rPr>
          <w:rFonts w:ascii="Courier New" w:cs="Courier New" w:eastAsia="Courier New" w:hAnsi="Courier New"/>
          <w:color w:val="AAAAAA"/>
          <w:sz w:val="18"/>
          <w:szCs w:val="18"/>
        </w:rPr>
        <w:t xml:space="preserve">              |-- nas-satin (volumes chiffres)</w:t>
      </w:r>
      <w:r>
        <w:br/>
        <w:t xml:space="preserve"/>
      </w:r>
      <w:r>
        <w:rPr>
          <w:rFonts w:ascii="Courier New" w:cs="Courier New" w:eastAsia="Courier New" w:hAnsi="Courier New"/>
          <w:color w:val="AAAAAA"/>
          <w:sz w:val="18"/>
          <w:szCs w:val="18"/>
        </w:rPr>
        <w:t xml:space="preserve">           net-monitoring (172.20.4/24)</w:t>
      </w:r>
      <w:r>
        <w:br/>
        <w:t xml:space="preserve"/>
      </w:r>
      <w:r>
        <w:rPr>
          <w:rFonts w:ascii="Courier New" w:cs="Courier New" w:eastAsia="Courier New" w:hAnsi="Courier New"/>
          <w:color w:val="AAAAAA"/>
          <w:sz w:val="18"/>
          <w:szCs w:val="18"/>
        </w:rPr>
        <w:t xml:space="preserve">              |-- fabric-watch:9090 (metriques IoT)</w:t>
      </w:r>
      <w:r>
        <w:br/>
        <w:t xml:space="preserve"/>
      </w:r>
      <w:r>
        <w:rPr>
          <w:rFonts w:ascii="Courier New" w:cs="Courier New" w:eastAsia="Courier New" w:hAnsi="Courier New"/>
          <w:color w:val="AAAAAA"/>
          <w:sz w:val="18"/>
          <w:szCs w:val="18"/>
        </w:rPr>
        <w:t xml:space="preserve">              |-- Prometheus + Grafana + Loki</w:t>
      </w:r>
      <w:r>
        <w:br/>
        <w:t xml:space="preserve"/>
      </w:r>
      <w:r>
        <w:br/>
        <w:t xml:space="preserve"/>
      </w:r>
    </w:p>
    <w:p>
      <w:r>
        <w:br w:type="page"/>
      </w:r>
    </w:p>
    <w:p>
      <w:pPr>
        <w:pStyle w:val="Heading1"/>
      </w:pPr>
      <w:r>
        <w:t xml:space="preserve">9. Conformité et sécurité</w:t>
      </w:r>
    </w:p>
    <w:p>
      <w:pPr>
        <w:spacing w:after="120" w:before="0"/>
        <w:jc w:val="left"/>
      </w:pPr>
      <w:r>
        <w:rPr>
          <w:b w:val="false"/>
          <w:bCs w:val="false"/>
          <w:color w:val="000000"/>
          <w:sz w:val="24"/>
          <w:szCs w:val="24"/>
        </w:rPr>
        <w:t xml:space="preserve">SL1PCONNECT traite des données de santé (fréquence cardiaque, détection de chutes). Ces données sont classées « données sensibles » au sens du RGPD (article 9) et peuvent relever de l’HDS selon l’usage médico-social.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600"/>
      </w:tblGrid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Exigence</w:t>
            </w:r>
          </w:p>
        </w:tc>
        <w:tc>
          <w:tcPr>
            <w:tcW w:type="dxa" w:w="5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Mesure retenue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RGPD Art. 9 (données santé)</w:t>
            </w:r>
          </w:p>
        </w:tc>
        <w:tc>
          <w:tcPr>
            <w:tcW w:type="dxa" w:w="5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Chiffrement AES-256 at-rest et TLS 1.3 in-transit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Pseudonymisation</w:t>
            </w:r>
          </w:p>
        </w:tc>
        <w:tc>
          <w:tcPr>
            <w:tcW w:type="dxa" w:w="5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UUIDs serveur, pas de données nominales en logs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Droit à l’effacement</w:t>
            </w:r>
          </w:p>
        </w:tc>
        <w:tc>
          <w:tcPr>
            <w:tcW w:type="dxa" w:w="5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Procédure de purge documentée en BDD + backups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HDS (si applicable)</w:t>
            </w:r>
          </w:p>
        </w:tc>
        <w:tc>
          <w:tcPr>
            <w:tcW w:type="dxa" w:w="5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Hébergement OVH certifié HDS, PBS chiffré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Traçabilité des accès</w:t>
            </w:r>
          </w:p>
        </w:tc>
        <w:tc>
          <w:tcPr>
            <w:tcW w:type="dxa" w:w="5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Audit logs centralisés Loki, rétention 1 an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Gestion des incidents</w:t>
            </w:r>
          </w:p>
        </w:tc>
        <w:tc>
          <w:tcPr>
            <w:tcW w:type="dxa" w:w="5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Runbooks dans Gitea, SLA de notification 72h (RGPD)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Conclusion</w:t>
      </w:r>
    </w:p>
    <w:p>
      <w:pPr>
        <w:spacing w:after="120" w:before="0"/>
        <w:jc w:val="left"/>
      </w:pPr>
      <w:r>
        <w:rPr>
          <w:b w:val="false"/>
          <w:bCs w:val="false"/>
          <w:color w:val="000000"/>
          <w:sz w:val="24"/>
          <w:szCs w:val="24"/>
        </w:rPr>
        <w:t xml:space="preserve">L’architecture cible proposée répond à l’ensemble des exigences du cas d’étude SL1PCONNECT :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Sécurité : élimination des 10 vulnérabilités identifiées, secrets gérés, accès contrôlés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Disponibilité : cluster Proxmox HA, redondance applicative, sauvegardes testées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Reproductibilité : 100% Infrastructure-as-Code (Docker Compose + scripts Ansible)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Observabilité : métriques, logs et alertes couvrant l’ensemble de la stack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Conformité : chiffrement, audit trails, procédures RGPD documentées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sz w:val="22"/>
          <w:szCs w:val="22"/>
        </w:rPr>
        <w:t xml:space="preserve">Migration : progressive, rollbackable, sans interruption de service prolongée</w:t>
      </w:r>
    </w:p>
    <w:p>
      <w:pPr>
        <w:spacing w:after="120" w:before="0"/>
        <w:jc w:val="left"/>
      </w:pPr>
      <w:r>
        <w:rPr>
          <w:b w:val="false"/>
          <w:bCs w:val="false"/>
          <w:color w:val="000000"/>
          <w:sz w:val="24"/>
          <w:szCs w:val="24"/>
        </w:rPr>
        <w:t xml:space="preserve">Le budget total estimé (matériel 3 nœuds + licences) est inférieur à 25 000€, soit moins de 0,1% de la levée de fonds Série B.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DD7EE" w:sz="4"/>
      </w:pBdr>
      <w:spacing w:before="80"/>
      <w:jc w:val="center"/>
    </w:pPr>
    <w:r>
      <w:rPr>
        <w:color w:val="595959"/>
        <w:sz w:val="18"/>
        <w:szCs w:val="18"/>
      </w:rPr>
      <w:t xml:space="preserve">Page </w:t>
    </w: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8"/>
        <w:szCs w:val="18"/>
      </w:rPr>
      <w:t xml:space="preserve"> / </w:t>
    </w:r>
    <w:r>
      <w:rPr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/>
      </w:pBdr>
      <w:spacing w:after="80"/>
      <w:jc w:val="right"/>
    </w:pPr>
    <w:r>
      <w:rPr>
        <w:color w:val="595959"/>
        <w:sz w:val="18"/>
        <w:szCs w:val="18"/>
      </w:rPr>
      <w:t xml:space="preserve">SL1PCONNECT — Dossier d’Architecture Cible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/>
      </w:pBdr>
      <w:spacing w:after="160" w:before="320"/>
      <w:outlineLvl w:val="0"/>
    </w:pPr>
    <w:rPr>
      <w:rFonts w:ascii="Calibri" w:cs="Calibri" w:eastAsia="Calibri" w:hAnsi="Calibri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Calibri" w:cs="Calibri" w:eastAsia="Calibri" w:hAnsi="Calibri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59595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2026-06-29T07:52:38.490Z</dcterms:created>
  <dcterms:modified xsi:type="dcterms:W3CDTF">2026-06-29T07:52:38.490Z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