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80"/>
        <w:jc w:val="center"/>
      </w:pPr>
      <w:r>
        <w:rPr>
          <w:b/>
          <w:bCs/>
          <w:color w:val="1F4E79"/>
          <w:sz w:val="56"/>
          <w:szCs w:val="56"/>
        </w:rPr>
        <w:t xml:space="preserve">SL1PCONNECT S.A.S.</w:t>
      </w:r>
    </w:p>
    <w:p>
      <w:pPr>
        <w:spacing w:after="320"/>
        <w:jc w:val="center"/>
      </w:pPr>
      <w:r>
        <w:rPr>
          <w:color w:val="595959"/>
          <w:sz w:val="24"/>
          <w:szCs w:val="24"/>
        </w:rPr>
        <w:t xml:space="preserve">Sous-vêtements de luxe connectés • HealthTech / IoT</w:t>
      </w:r>
    </w:p>
    <w:p>
      <w:pPr>
        <w:pBdr>
          <w:top w:val="single" w:color="2E75B6" w:sz="12"/>
          <w:bottom w:val="single" w:color="2E75B6" w:sz="12"/>
        </w:pBdr>
        <w:spacing w:after="160" w:before="160"/>
        <w:jc w:val="center"/>
      </w:pPr>
      <w:r>
        <w:rPr>
          <w:b/>
          <w:bCs/>
          <w:color w:val="2E75B6"/>
          <w:sz w:val="52"/>
          <w:szCs w:val="52"/>
        </w:rPr>
        <w:t xml:space="preserve">DOSSIER D’ARCHITECTURE CIBLE</w:t>
      </w:r>
    </w:p>
    <w:p>
      <w:pPr>
        <w:spacing w:after="80" w:before="240"/>
        <w:jc w:val="center"/>
      </w:pPr>
      <w:r>
        <w:rPr>
          <w:color w:val="595959"/>
          <w:sz w:val="28"/>
          <w:szCs w:val="28"/>
        </w:rPr>
        <w:t xml:space="preserve">Virtualisation • Conteneurisation • Orchestration</w:t>
      </w:r>
    </w:p>
    <w:p>
      <w:pPr>
        <w:spacing w:after="80"/>
        <w:jc w:val="center"/>
      </w:pPr>
      <w:r>
        <w:rPr>
          <w:color w:val="595959"/>
          <w:sz w:val="24"/>
          <w:szCs w:val="24"/>
        </w:rPr>
        <w:t xml:space="preserve">Infrastructure IaC • CI/CD • Supervision • Sécurité</w:t>
      </w:r>
    </w:p>
    <w:p>
      <w:pPr>
        <w:spacing w:before="1440"/>
      </w:pPr>
    </w:p>
    <w:p>
      <w:pPr>
        <w:jc w:val="center"/>
      </w:pPr>
      <w:r>
        <w:rPr>
          <w:color w:val="595959"/>
          <w:sz w:val="22"/>
          <w:szCs w:val="22"/>
        </w:rPr>
        <w:t xml:space="preserve">Version 1.0 — Juin 2026</w:t>
      </w:r>
    </w:p>
    <w:p>
      <w:r>
        <w:br w:type="page"/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Synthèse exécutive</w:t>
      </w:r>
    </w:p>
    <w:p>
      <w:pPr>
        <w:spacing w:after="120" w:before="0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SL1PCONNECT est une scale-up de 666 collaborateurs dont l’infrastructure souffre d’une dette technique majeure : serveurs bare-metal sans virtualisation au siège de Nice, hôte Docker unique (SPOF) en cloud OVH, absence de CI/CD, de supervision et d’IaC.</w:t>
      </w:r>
    </w:p>
    <w:p>
      <w:pPr>
        <w:spacing w:after="120" w:before="0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Face à une levée de fonds Série B de 24 M€ et une expansion européenne imminente, cette architecture ne répond plus aux exigences de disponibilité, de sécurité (données de santé RGPD/HDS) ni de scalabilité.</w:t>
      </w:r>
    </w:p>
    <w:p>
      <w:pPr>
        <w:spacing w:after="120" w:before="0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Ce dossier présente l’architecture cible retenue 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Zone A (Nice) : consolidation sur Proxmox VE en cluster HA, segmentation VLAN, sauvegardes chiffrées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Zone B (OVH) : re-conteneurisation des 4 services IoT avec Docker Compose durci, réseaux isolés, gestion des secrets, reverse proxy Traefik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Briques transverses : forge Gitea + Woodpecker CI, registre Harbor, supervision Prometheus/Grafana, logs Loki, secrets Vault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Migration progressive en 12 semaines avec rollback à chaque étape</w:t>
      </w:r>
    </w:p>
    <w:p>
      <w:r>
        <w:br w:type="page"/>
      </w:r>
    </w:p>
    <w:p>
      <w:pPr>
        <w:pStyle w:val="Heading1"/>
      </w:pPr>
      <w:r>
        <w:t xml:space="preserve">2. Analyse de l’existant et de la dette technique</w:t>
      </w:r>
    </w:p>
    <w:p>
      <w:pPr>
        <w:pStyle w:val="Heading2"/>
      </w:pPr>
      <w:r>
        <w:t xml:space="preserve">2.1 Zone A — Siège Nice (on-premise)</w:t>
      </w:r>
    </w:p>
    <w:p>
      <w:pPr>
        <w:spacing w:after="120" w:before="0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Serveurs physiques hétérogènes sans hyperviseur. Aucune consolidation, aucun snapshot, aucune haute disponibilité. Le pare-feu Stormshield SN1100 assure la segmentation, mais les postes clients incluent 1 poste Windows XP et 9 Windows 7 hors support, exposant le SI à des vulnérabilités connues non corrigées.</w:t>
      </w:r>
    </w:p>
    <w:p>
      <w:pPr>
        <w:pStyle w:val="Heading2"/>
      </w:pPr>
      <w:r>
        <w:t xml:space="preserve">2.2 Zone B — Plateforme IoT OVH (cloud)</w:t>
      </w:r>
    </w:p>
    <w:p>
      <w:pPr>
        <w:spacing w:after="120" w:before="0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Quatre services Docker (thread-api, tailor-panel, stitch-processor, fabric-watch) déployés sur un hôte unique app-lycra. Pas d’orchestration, pas de redondance.</w:t>
      </w:r>
    </w:p>
    <w:p>
      <w:pPr>
        <w:pStyle w:val="Heading2"/>
      </w:pPr>
      <w:r>
        <w:t xml:space="preserve">2.3 Inventaire des vulnérabilités critiques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000"/>
        <w:gridCol w:w="16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Vulnérabilité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Criticité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Conteneurs lancés en root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Escalade de privilèges triviale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docker.sock monté dans un conteneur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Évasion de conteneur, contrôle total de l’hôte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Secrets en clair dans docker-compose.yml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Exfiltration de données / accès BDD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Accès ex-stagiaire non révoqué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Accès non autorisé persistant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Réseau bridge partagé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Lateral movement entre services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Élevé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Images non scannées depuis 6+ mois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CVE non patchées en production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Élevé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Sauvegardes OVH non chiffrées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Non-conformité RGPD, données de santé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Élevé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 de pipeline CI/CD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Déploiements manuels risqués le vendredi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Modéré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Dev/preprod/prod mélangés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Données réelles en recette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Modéré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Postes XP/Win7 hors support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Vecteur d’attaque réseau interne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Élevé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Choix de l’hyperviseur</w:t>
      </w:r>
    </w:p>
    <w:p>
      <w:pPr>
        <w:pStyle w:val="Heading2"/>
      </w:pPr>
      <w:r>
        <w:t xml:space="preserve">3.1 Comparatif des solutions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19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Proxmox VE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VMware vSphere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XCP-ng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Licence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Open-source (AGPLv3)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Propriétaire (coûteux)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Open-source (XenServer fork)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Interface web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Intégrée, moderne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vCenter (lourd)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XO (Xen Orchestra)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Cluster HA natif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Oui (Corosync/DRBD)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Oui (vSAN payant)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Support LXC + KVM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Oui (double stratégie)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 (VMs uniquement)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Proxmox Backup Server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Natif, incrémental, chiffré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vSphere Backup tiers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Xen Orchestra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Coût (standalone)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0€ + support optionnel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~5 000€/an min.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0€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Communauté / maturité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Très active, 10+ ans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Très mature, écosystème large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Active, plus jeune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Compatibilité matériel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Linux (large)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Certified HCL strict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Linux (large)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Choix retenu : Proxmox VE (nœud unique)</w:t>
      </w:r>
    </w:p>
    <w:p>
      <w:pPr>
        <w:spacing w:after="120" w:before="0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Proxmox VE est retenu pour les raisons suivantes 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Zéro coût de licence, adapté au budget d’une scale-up en Série B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Support natif KVM (VMs) et LXC (conteneurs légers), offrant flexibilité maximale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Proxmox Backup Server intégré — sauvegardes incrémentales chiffrées AES-256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Snapshots VM en quelques secondes, restauration rapide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Interface web complète, sans agent sur les VMs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Évolutif : migration vers un cluster HA 2 ou 3 nœuds possible sans réinstallation</w:t>
      </w:r>
    </w:p>
    <w:p>
      <w:pPr>
        <w:spacing w:after="120" w:before="0"/>
        <w:jc w:val="left"/>
      </w:pPr>
      <w:r>
        <w:rPr>
          <w:b w:val="false"/>
          <w:bCs w:val="false"/>
          <w:color w:val="595959"/>
          <w:sz w:val="24"/>
          <w:szCs w:val="24"/>
        </w:rPr>
        <w:t xml:space="preserve">Dans le cadre de cette maquette, Proxmox est déployé sur un nœud unique. La haute disponibilité native (cluster Corosync) n’est pas activée — en production, l’ajout d’un second nœud permettrait de l’activer sans reconfiguration majeure. En attendant, la continuité de service repose sur des snapshots planifiés et des sauvegardes PBS vers un NAS externe.</w:t>
      </w:r>
    </w:p>
    <w:p>
      <w:pPr>
        <w:pStyle w:val="Heading2"/>
      </w:pPr>
      <w:r>
        <w:t xml:space="preserve">3.3 Architecture Proxmox — nœud standalone</w:t>
      </w:r>
    </w:p>
    <w:p>
      <w:pPr>
        <w:spacing w:after="120" w:before="0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Un seul serveur physique héberge l’ensemble des VMs. Le Proxmox Backup Server (PBS) est installé sur une VM dédiée ou sur un NAS externe pour respecter la règle de séparation sauvegarde/production.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9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VM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VMs hébergées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Stockage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pve-node1 (unique)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Toutes les VMs du siège Nice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Disque(s) local(aux) du serveur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PBS (NAS ou VM)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Proxmox Backup Server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Disque dédié ou NAS réseau</w:t>
            </w:r>
          </w:p>
        </w:tc>
      </w:tr>
    </w:tbl>
    <w:p>
      <w:pPr>
        <w:spacing w:after="80"/>
      </w:pPr>
    </w:p>
    <w:p>
      <w:pPr>
        <w:spacing w:after="120" w:before="0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Recommandation matérielle minimale pour la maquette : CPU x86-64 avec VT-x/AMD-V activé dans le BIOS, 32 Go RAM (16 Go minimum), 500 Go SSD. Proxmox fonctionne sur du matériel standard — pas de certification constructeur requise contrairement à VMware.</w:t>
      </w:r>
    </w:p>
    <w:p>
      <w:r>
        <w:br w:type="page"/>
      </w:r>
    </w:p>
    <w:p>
      <w:pPr>
        <w:pStyle w:val="Heading1"/>
      </w:pPr>
      <w:r>
        <w:t xml:space="preserve">4. Architecture cible Zone A — Siège Nice</w:t>
      </w:r>
    </w:p>
    <w:p>
      <w:pPr>
        <w:pStyle w:val="Heading2"/>
      </w:pPr>
      <w:r>
        <w:t xml:space="preserve">4.1 Plan de consolidation des VMs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800"/>
        <w:gridCol w:w="900"/>
        <w:gridCol w:w="1100"/>
        <w:gridCol w:w="320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VM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vCPU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Stockage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vm-dns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Debian 12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Go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Go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DNS autoritaire + résolveur (Bind9)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vm-web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Debian 12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Go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 Go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Reverse proxy Nginx + WAF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vm-sftp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Debian 12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Go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 Go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SFTP + chiffrement at-rest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vm-bdd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Debian 12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Go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 Go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16 + réplication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vm-ad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Server 2022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Go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 Go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 Directory + GPO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vm-gitlab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Debian 12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Go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Go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Gitea + Woodpecker CI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vm-supervision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Debian 12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Go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Go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Prometheus + Grafana + Loki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vm-vault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Debian 12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Go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 Go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HashiCorp Vault (secrets)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vm-staging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Debian 12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Go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 Go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Environnement pré-prod isolé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Segmentation réseau et plan d’adressage (Zone A)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500"/>
        <w:gridCol w:w="2200"/>
        <w:gridCol w:w="300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Réseau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Passerelle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Firewall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VLAN 10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192.168.10.0/24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192.168.10.1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DMZ — DNS, Web publics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 all in / permit http(s)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VLAN 20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192.168.20.0/24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192.168.20.1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SFTP — transferts fichiers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Permit SFTP (22) authenticated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VLAN 30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192.168.30.0/24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192.168.30.1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BDD — bases de données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Permit 5432 from app only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VLAN 40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192.168.40.0/24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192.168.40.1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 / Annuaire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Permit from internal VLANs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VLAN 50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192.168.50.0/24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192.168.50.1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Métier — serveurs applicatifs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Statefull, permit from AD+BDD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VLAN 60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192.168.60.0/24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192.168.60.1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Postes clients (224 postes)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Internet permit, BDD deny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VLAN 70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192.168.70.0/24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192.168.70.1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Administration / Supervision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Bastion SSH uniquement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VLAN 80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192.168.80.0/24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192.168.80.1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Forge (Gitea, Harbor, Vault)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Permit from admin+metier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VLAN 90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192.168.90.0/24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192.168.90.1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Staging / Pré-prod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Isolé, no prod data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Haute disponibilité et stratégie de sauvegarde</w:t>
      </w:r>
    </w:p>
    <w:p>
      <w:pPr>
        <w:spacing w:after="120" w:before="0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Tous les VMs critiques sont configurés avec HA Group dans Proxmox. En cas de défaillance d’un nœud, les VMs redémarrent automatiquement sur un nœud disponible en moins de 60 secondes.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Snapshots Proxmox : quotidiens (rétention 7 jours), hebdomadaires (rétention 4 semaines)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Proxmox Backup Server (PBS) : sauvegardes incrémentales AES-256, dédupliquées, vers NAS-SATIN via tunnel chiffré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Règle 3-2-1 : 3 copies, 2 médias différents (NVMe local + PBS + externalisation Marseille DC)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RTO &lt; 4h / RPO &lt; 24h pour les services métier, RTO &lt; 1h / RPO &lt; 1h pour les services IoT</w:t>
      </w:r>
    </w:p>
    <w:p>
      <w:r>
        <w:br w:type="page"/>
      </w:r>
    </w:p>
    <w:p>
      <w:pPr>
        <w:pStyle w:val="Heading1"/>
      </w:pPr>
      <w:r>
        <w:t xml:space="preserve">5. Architecture cible Zone B — Plateforme IoT OVH</w:t>
      </w:r>
    </w:p>
    <w:p>
      <w:pPr>
        <w:pStyle w:val="Heading2"/>
      </w:pPr>
      <w:r>
        <w:t xml:space="preserve">5.1 Choix d’orchestration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2000"/>
        <w:gridCol w:w="23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Complexité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 natif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Adapté à 4 services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Maintenance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Compose durci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Faible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 (redémarrage auto)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Oui (idéal)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Minimale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Swarm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Moyenne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Oui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Faible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k3s (Kubernetes léger)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Élevée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Sur-dimensionné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Élevée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Kubernetes full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Très élevée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Sur-dimensionné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Très élevée</w:t>
            </w:r>
          </w:p>
        </w:tc>
      </w:tr>
    </w:tbl>
    <w:p>
      <w:pPr>
        <w:spacing w:after="80"/>
      </w:pPr>
    </w:p>
    <w:p>
      <w:pPr>
        <w:spacing w:after="160" w:before="0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Docker Compose durci est retenu pour la phase initiale. Avec seulement 4 microservices, la complexité opérationnelle de Kubernetes serait disproportionnée. Une migration vers Swarm ou k3s est prévue si le nombre de services dépasse 10 ou si les exigences de scalabilité l’imposent.</w:t>
      </w:r>
    </w:p>
    <w:p>
      <w:pPr>
        <w:pStyle w:val="Heading2"/>
      </w:pPr>
      <w:r>
        <w:t xml:space="preserve">5.2 Architecture réseau des conteneurs</w:t>
      </w:r>
    </w:p>
    <w:p>
      <w:pPr>
        <w:spacing w:after="120" w:before="0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Chaque couche (front, API, data) dispose de son propre réseau Docker. Les conteneurs ne peuvent communiquer qu’avec les réseaux auxquels ils sont explicitement rattachés.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800"/>
        <w:gridCol w:w="29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Réseau Docker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Sous-réseau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Conteneurs autorisés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Accès externe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net-front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172.20.1.0/24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traefik, tailor-panel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Oui (via Traefik)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net-api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172.20.2.0/24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traefik, thread-api, stitch-processor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 (interne)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net-data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172.20.3.0/24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thread-api, stitch-processor, db-velvet, nas-satin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 (isolé)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net-monitoring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172.20.4.0/24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prometheus, grafana, loki, fabric-watch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Grafana uniquement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net-admin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172.20.5.0/24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traefik (dashboard), portainer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VPN uniquement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5.3 Re-conteneurisation des 4 services IoT</w:t>
      </w:r>
    </w:p>
    <w:p>
      <w:pPr>
        <w:spacing w:after="120" w:before="0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Chaque Dockerfile respecte les principes suivants 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Image de base officielle, tag fixe (pas de :latest)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Build multi-stage : builder + runtime minimal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Utilisateur non-root dédié (UID 1001)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Suppression des packages de build en runtime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HEALTHCHECK défini dans chaque Dockerfile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Scan Trivy intégré dans le pipeline CI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1900"/>
        <w:gridCol w:w="1800"/>
        <w:gridCol w:w="2200"/>
      </w:tblGrid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Port interne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Image base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Utilisateur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Réseau(x)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thread-api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8080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python:3.12-slim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appuser (1001)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net-api, net-data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tailor-panel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8081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node:20-alpine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appuser (1001)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net-front, net-api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stitch-processor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8082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python:3.12-slim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appuser (1001)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net-api, net-data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fabric-watch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9090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python:3.12-slim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appuser (1001)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net-monitoring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5.4 Reverse proxy Traefik</w:t>
      </w:r>
    </w:p>
    <w:p>
      <w:pPr>
        <w:spacing w:after="120" w:before="0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Traefik v3 est utilisé comme reverse proxy et terminaison TLS. Il gère automatiquement les certificats Let's Encrypt via ACME. Les routes sont définies par labels Docker, éliminant toute configuration manuelle.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TLS 1.2+ obligé, HTTP redirigé vers HTTPS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Middleware de rate-limiting : 100 req/s par IP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Dashboard Traefik accessible uniquement via réseau net-admin (VPN)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Headers de sécurité : HSTS, X-Frame-Options, CSP</w:t>
      </w:r>
    </w:p>
    <w:p>
      <w:pPr>
        <w:pStyle w:val="Heading2"/>
      </w:pPr>
      <w:r>
        <w:t xml:space="preserve">5.5 Gestion des secrets</w:t>
      </w:r>
    </w:p>
    <w:p>
      <w:pPr>
        <w:spacing w:after="120" w:before="0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Les secrets ne transitent plus en clair dans les variables d’environnement ni dans les fichiers de configuration versionnés.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Phase 1 (immédiat) : Docker Secrets pour mots de passe BDD, tokens API, clés SSL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Phase 2 (6 mois) : HashiCorp Vault avec injection dynamique via API, rotation automatique des credentials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Fichiers .env exclus du dépôt Git (.gitignore strict), template .env.example fourni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Scan de secrets dans le pipeline CI (Gitleaks)</w:t>
      </w:r>
    </w:p>
    <w:p>
      <w:r>
        <w:br w:type="page"/>
      </w:r>
    </w:p>
    <w:p>
      <w:pPr>
        <w:pStyle w:val="Heading1"/>
      </w:pPr>
      <w:r>
        <w:t xml:space="preserve">6. Briques complémentaires</w:t>
      </w:r>
    </w:p>
    <w:p>
      <w:pPr>
        <w:pStyle w:val="Heading2"/>
      </w:pPr>
      <w:r>
        <w:t xml:space="preserve">6.1 Forge logicielle et CI/CD</w:t>
      </w:r>
    </w:p>
    <w:p>
      <w:pPr>
        <w:spacing w:after="120" w:before="0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Gitea est retenu comme forge logicielle (alt. GitHub/GitLab) : léger, open-source, auto-hébergé sur vm-gitlab. Woodpecker CI assure l’intégration continue.</w:t>
      </w:r>
    </w:p>
    <w:p>
      <w:pPr>
        <w:spacing w:after="120" w:before="0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Pipeline CI/CD pour chaque service IoT 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lint : analyse statique du code (pylint, eslint)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test : tests unitaires et d’intégration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build : construction de l’image Docker avec tag SHA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scan : analyse de vulnérabilités Trivy (bloquant si CRITICAL)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push : publication vers Harbor Registry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deploy : mise à jour via docker compose pull + up -d (sans interruption)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notify : notification Slack/email en cas d’échec</w:t>
      </w:r>
    </w:p>
    <w:p>
      <w:pPr>
        <w:pStyle w:val="Heading2"/>
      </w:pPr>
      <w:r>
        <w:t xml:space="preserve">6.2 Registre d’images Harbor</w:t>
      </w:r>
    </w:p>
    <w:p>
      <w:pPr>
        <w:spacing w:after="120" w:before="0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Harbor est déployé sur vm-gitlab pour stocker et signer les images Docker. Il intègre Trivy pour le scan de vulnérabilités à la poussée. Seules les images signées (Notary v2) sont autorisées en production.</w:t>
      </w:r>
    </w:p>
    <w:p>
      <w:pPr>
        <w:pStyle w:val="Heading2"/>
      </w:pPr>
      <w:r>
        <w:t xml:space="preserve">6.3 Supervision et métriques</w:t>
      </w:r>
    </w:p>
    <w:p>
      <w:pPr>
        <w:spacing w:after="120" w:before="0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Stack Prometheus + Grafana déployée sur vm-supervision (Zone A) et sur net-monitoring (Zone B).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Prometheus : scrape toutes les 15s, rétention 30 jours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Alertmanager : alertes vers PagerDuty (critique) et Slack (avertissement)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Grafana : tableaux de bord pré-configurés (IoT, infrastructure, BDD, CI/CD)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node_exporter sur chaque VM, cAdvisor sur les hôtes Docker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fabric-watch (port 9090) expose les métriques métier IoT (capteurs, connexions BLE)</w:t>
      </w:r>
    </w:p>
    <w:p>
      <w:pPr>
        <w:pStyle w:val="Heading2"/>
      </w:pPr>
      <w:r>
        <w:t xml:space="preserve">6.4 Centralisation des logs</w:t>
      </w:r>
    </w:p>
    <w:p>
      <w:pPr>
        <w:spacing w:after="120" w:before="0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Stack Loki + Promtail + Grafana (affichage intégré). Chaque conteneur envoie ses logs via Promtail. Les logs sont indexés par service, environnement et niveau.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Rétention : 90 jours en ligne, archivage S3/OVH Object Storage 1 an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Alertes sur patterns d’erreur (regex Loki Rules)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Pas d’ELK : trop lourd pour 4 services ; Loki est 5x moins consommateur en RAM</w:t>
      </w:r>
    </w:p>
    <w:p>
      <w:pPr>
        <w:pStyle w:val="Heading2"/>
      </w:pPr>
      <w:r>
        <w:t xml:space="preserve">6.5 Gestion des accès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Suppression immédiate de tous les accès de l’ex-stagiaire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Clés SSH individuelles par administrateur (suppression des clés partagées)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Bastion SSH (vm-bastion) : seul point d’entrée SSH vers l’infrastructure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Authentification MFA pour tous les accès administrateur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Revue des droits trimestrielle avec export AD</w:t>
      </w:r>
    </w:p>
    <w:p>
      <w:pPr>
        <w:pStyle w:val="Heading2"/>
      </w:pPr>
      <w:r>
        <w:t xml:space="preserve">6.6 Sauvegarde globale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1600"/>
        <w:gridCol w:w="13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Données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Chiffrement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Rétention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VMs Proxmox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PBS (incremental)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AES-256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Quotidien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jours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BDD PostgreSQL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pg_dump + restic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AES-256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Toutes les 4h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 jours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Volumes Docker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restic vers OVH S3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AES-256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Quotidien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jours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source (Gitea)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Gitea mirror + restic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AES-256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Toutes les 6h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an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Secrets Vault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Vault snapshot chiffré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AES-256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Quotidien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jours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Plan de migration</w:t>
      </w:r>
    </w:p>
    <w:p>
      <w:pPr>
        <w:spacing w:after="120" w:before="0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La migration suit une stratégie « strangler fig » : chaque service est migré individuellement, avec maintien de l’existant en parallèle jusqu’à validation en production.</w:t>
      </w:r>
    </w:p>
    <w:p>
      <w:pPr>
        <w:pStyle w:val="Heading2"/>
      </w:pPr>
      <w:r>
        <w:t xml:space="preserve">7.1 Phase 1 — Zone B OVH (Semaines 1–4) — URGENT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00"/>
        <w:gridCol w:w="340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Semaine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Révocation accès ex-stagiaire. Audit complet des secrets. Rotation de TOUS les tokens/mots de passe.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rapporté, aucun accès résiduel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Déploiement Traefik + réseaux isolés. Re-conteneurisation thread-api en non-root. Mise en place Docker Secrets.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thread-api fonctionnel sur nouveau réseau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Re-conteneurisation tailor-panel, stitch-processor, fabric-watch. Harbor Registry opérationnel.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services sur nouvelle infra, monitoring actif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S4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Pipeline CI/CD Woodpecker. Scan Trivy. Documentation IaC. Basculement DNS.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Déploiement pipeline réussit, zéro downtime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7.2 Phase 2 — Zone A Nice (Semaines 5–12)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00"/>
        <w:gridCol w:w="340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Semaine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S5-S6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Installation et configuration cluster Proxmox 3 nœuds. Configuration réseau VLAN.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Cluster Proxmox HA opérationnel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S7-S8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Migration P2V : vm-dns, vm-web, vm-sftp (services non critiques en premier).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Services migrés, basculement DNS validé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S9-S10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Migration vm-bdd (PostgreSQL) avec réplication et bascule en fenêtre maintenance.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BDD HA, RPO/RTO testés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S11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Migration vm-ad, vm-supervision, vm-vault. Configuration PBS. Tests sauvegardes.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Sauvegardes vérifiées, restauration testée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S12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Isolation postes XP/Win7 sur VLAN dedié + firewall strict. Documentation finale.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Aucun poste hors support sur réseau principal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7.3 Stratégie de rollback</w:t>
      </w:r>
    </w:p>
    <w:p>
      <w:pPr>
        <w:spacing w:after="120" w:before="0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Chaque étape dispose d’un plan de rollback documenté 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Zone B : le basculement DNS se fait avec TTL réduit à 60s pour rollback en &lt; 5 min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Zone A : l’ancienne infrastructure physique reste opérationnelle jusqu’à S10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Snapshots Proxmox avant chaque migration (rollback en &lt; 30 min)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Tests de charge sur pré-prod avant chaque bascule prod</w:t>
      </w:r>
    </w:p>
    <w:p>
      <w:r>
        <w:br w:type="page"/>
      </w:r>
    </w:p>
    <w:p>
      <w:pPr>
        <w:pStyle w:val="Heading1"/>
      </w:pPr>
      <w:r>
        <w:t xml:space="preserve">8. Schéma d’architecture global (représentation textuelle)</w:t>
      </w:r>
    </w:p>
    <w:p>
      <w:pPr>
        <w:spacing w:after="120" w:before="0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Le schéma ci-dessous représente l’architecture cible. Un schéma Visio/Draw.io est fourni en annexe de la maquette.</w:t>
      </w:r>
    </w:p>
    <w:p>
      <w:pPr>
        <w:shd w:fill="1E1E1E" w:val="clear"/>
        <w:spacing w:after="100"/>
      </w:pPr>
      <w:r>
        <w:br/>
        <w:t xml:space="preserve"/>
      </w: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INTERNET</w:t>
      </w:r>
      <w:r>
        <w:br/>
        <w:t xml:space="preserve"/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|</w:t>
      </w:r>
      <w:r>
        <w:br/>
        <w:t xml:space="preserve"/>
      </w:r>
      <w:r>
        <w:rPr>
          <w:rFonts w:ascii="Courier New" w:cs="Courier New" w:eastAsia="Courier New" w:hAnsi="Courier New"/>
          <w:color w:val="00AAFF"/>
          <w:sz w:val="18"/>
          <w:szCs w:val="18"/>
        </w:rPr>
        <w:t xml:space="preserve">   +-- [Stormshield SN1100] -- VLAN Routing -- Proxmox Cluster (3 noeuds)</w:t>
      </w:r>
      <w:r>
        <w:br/>
        <w:t xml:space="preserve"/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|       VLAN10 DMZ (192.168.10/24)  vm-dns  vm-web</w:t>
      </w:r>
      <w:r>
        <w:br/>
        <w:t xml:space="preserve"/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|       VLAN30 BDD (192.168.30/24)  vm-bdd (PostgreSQL HA)</w:t>
      </w:r>
      <w:r>
        <w:br/>
        <w:t xml:space="preserve"/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|       VLAN40 AD  (192.168.40/24)  vm-ad</w:t>
      </w:r>
      <w:r>
        <w:br/>
        <w:t xml:space="preserve"/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|       VLAN70 ADM (192.168.70/24)  vm-supervision  vm-vault  Bastion</w:t>
      </w:r>
      <w:r>
        <w:br/>
        <w:t xml:space="preserve"/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|       VLAN80 FORGE(192.168.80/24) vm-gitlab (Gitea+Harbor+Woodpecker)</w:t>
      </w:r>
      <w:r>
        <w:br/>
        <w:t xml:space="preserve"/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|</w:t>
      </w:r>
      <w:r>
        <w:br/>
        <w:t xml:space="preserve"/>
      </w:r>
      <w:r>
        <w:rPr>
          <w:rFonts w:ascii="Courier New" w:cs="Courier New" w:eastAsia="Courier New" w:hAnsi="Courier New"/>
          <w:color w:val="FFAA00"/>
          <w:sz w:val="18"/>
          <w:szCs w:val="18"/>
        </w:rPr>
        <w:t xml:space="preserve">   +-- [IPSec Tunnel] ---------- OVH Cloud (Zone B IoT)</w:t>
      </w:r>
      <w:r>
        <w:br/>
        <w:t xml:space="preserve"/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Traefik (TLS) -- net-front (172.20.1/24)</w:t>
      </w:r>
      <w:r>
        <w:br/>
        <w:t xml:space="preserve"/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  |-- tailor-panel:8081</w:t>
      </w:r>
      <w:r>
        <w:br/>
        <w:t xml:space="preserve"/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net-api (172.20.2/24)</w:t>
      </w:r>
      <w:r>
        <w:br/>
        <w:t xml:space="preserve"/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  |-- thread-api:8080</w:t>
      </w:r>
      <w:r>
        <w:br/>
        <w:t xml:space="preserve"/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  |-- stitch-processor:8082</w:t>
      </w:r>
      <w:r>
        <w:br/>
        <w:t xml:space="preserve"/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net-data (172.20.3/24)</w:t>
      </w:r>
      <w:r>
        <w:br/>
        <w:t xml:space="preserve"/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  |-- db-velvet (PostgreSQL)</w:t>
      </w:r>
      <w:r>
        <w:br/>
        <w:t xml:space="preserve"/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  |-- nas-satin (volumes chiffres)</w:t>
      </w:r>
      <w:r>
        <w:br/>
        <w:t xml:space="preserve"/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net-monitoring (172.20.4/24)</w:t>
      </w:r>
      <w:r>
        <w:br/>
        <w:t xml:space="preserve"/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  |-- fabric-watch:9090 (metriques IoT)</w:t>
      </w:r>
      <w:r>
        <w:br/>
        <w:t xml:space="preserve"/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  |-- Prometheus + Grafana + Loki</w:t>
      </w:r>
      <w:r>
        <w:br/>
        <w:t xml:space="preserve"/>
      </w:r>
      <w:r>
        <w:br/>
        <w:t xml:space="preserve"/>
      </w:r>
    </w:p>
    <w:p>
      <w:r>
        <w:br w:type="page"/>
      </w:r>
    </w:p>
    <w:p>
      <w:pPr>
        <w:pStyle w:val="Heading1"/>
      </w:pPr>
      <w:r>
        <w:t xml:space="preserve">9. Conformité et sécurité</w:t>
      </w:r>
    </w:p>
    <w:p>
      <w:pPr>
        <w:spacing w:after="120" w:before="0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SL1PCONNECT traite des données de santé (fréquence cardiaque, détection de chutes). Ces données sont classées « données sensibles » au sens du RGPD (article 9) et peuvent relever de l’HDS selon l’usage médico-social.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60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Mesure retenue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RGPD Art. 9 (données santé)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Chiffrement AES-256 at-rest et TLS 1.3 in-transit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Pseudonymisation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UUIDs serveur, pas de données nominales en logs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Droit à l’effacement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Procédure de purge documentée en BDD + backups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HDS (si applicable)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Hébergement OVH certifié HDS, PBS chiffré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Traçabilité des accès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logs centralisés Loki, rétention 1 an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Gestion des incidents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Runbooks dans Gitea, SLA de notification 72h (RGPD)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Conclusion</w:t>
      </w:r>
    </w:p>
    <w:p>
      <w:pPr>
        <w:spacing w:after="120" w:before="0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L’architecture cible proposée répond à l’ensemble des exigences du cas d’étude SL1PCONNECT 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Sécurité : élimination des 10 vulnérabilités identifiées, secrets gérés, accès contrôlés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Proxmox standalone : snapshots planifis, sauvegardes PBS, restauration rapide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Disponibilite : redondance applicative IoT, sauvegardes testees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Reproductibilite : 100% Infrastructure-as-Code (Docker Compose + scripts Ansible)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Observabilite : metriques, logs et alertes couvrant l'ensemble de la stack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Conformite : chiffrement, audit trails, procedures RGPD documentees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sz w:val="22"/>
          <w:szCs w:val="22"/>
        </w:rPr>
        <w:t xml:space="preserve">Migration : progressive, rollbackable, sans interruption de service prolongee</w:t>
      </w:r>
    </w:p>
    <w:p>
      <w:pPr>
        <w:spacing w:after="120" w:before="0"/>
        <w:jc w:val="left"/>
      </w:pPr>
      <w:r>
        <w:rPr>
          <w:b w:val="false"/>
          <w:bCs w:val="false"/>
          <w:color w:val="000000"/>
          <w:sz w:val="24"/>
          <w:szCs w:val="24"/>
        </w:rPr>
        <w:t xml:space="preserve">Le budget total estime (materiel 1 noeud Proxmox + licences logicielles) est inferieur a 8 000EUR, soit moins de 0,04% de la levee de fonds Serie B.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4"/>
      </w:pBdr>
      <w:spacing w:before="80"/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80"/>
      <w:jc w:val="right"/>
    </w:pPr>
    <w:r>
      <w:rPr>
        <w:color w:val="595959"/>
        <w:sz w:val="18"/>
        <w:szCs w:val="18"/>
      </w:rPr>
      <w:t xml:space="preserve">SL1PCONNECT — Dossier d’Architecture Cible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/>
      </w:pBdr>
      <w:spacing w:after="160" w:before="32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2026-06-29T08:19:55.410Z</dcterms:created>
  <dcterms:modified xsi:type="dcterms:W3CDTF">2026-06-29T08:19:55.410Z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