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Simulacion de Cajero Automático de la Ciudad de Puno - Sede Central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 a Simular: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283.46456692913375" w:hanging="360"/>
      </w:pPr>
      <w:r w:rsidDel="00000000" w:rsidR="00000000" w:rsidRPr="00000000">
        <w:rPr>
          <w:rtl w:val="0"/>
        </w:rPr>
        <w:t xml:space="preserve">llegada de usuarios ( intervalo de llegada entre cada usuario a la cola),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283.46456692913375" w:hanging="360"/>
      </w:pPr>
      <w:r w:rsidDel="00000000" w:rsidR="00000000" w:rsidRPr="00000000">
        <w:rPr>
          <w:rtl w:val="0"/>
        </w:rPr>
        <w:t xml:space="preserve">cola de espera (tiempo de espera antes del ingreso al cajero),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283.46456692913375" w:hanging="360"/>
      </w:pPr>
      <w:r w:rsidDel="00000000" w:rsidR="00000000" w:rsidRPr="00000000">
        <w:rPr>
          <w:rtl w:val="0"/>
        </w:rPr>
        <w:t xml:space="preserve">uso del cajero,(cajero más usado),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283.46456692913375" w:hanging="360"/>
        <w:rPr>
          <w:u w:val="none"/>
        </w:rPr>
      </w:pPr>
      <w:r w:rsidDel="00000000" w:rsidR="00000000" w:rsidRPr="00000000">
        <w:rPr>
          <w:rtl w:val="0"/>
        </w:rPr>
        <w:t xml:space="preserve">cantidad de usuarios en cola/espera,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283.46456692913375" w:hanging="360"/>
      </w:pPr>
      <w:r w:rsidDel="00000000" w:rsidR="00000000" w:rsidRPr="00000000">
        <w:rPr>
          <w:rtl w:val="0"/>
        </w:rPr>
        <w:t xml:space="preserve">tiempo de operación,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283.46456692913375" w:hanging="360"/>
      </w:pPr>
      <w:r w:rsidDel="00000000" w:rsidR="00000000" w:rsidRPr="00000000">
        <w:rPr>
          <w:rtl w:val="0"/>
        </w:rPr>
        <w:t xml:space="preserve">cajero ocupado/libre,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283.46456692913375" w:hanging="360"/>
      </w:pPr>
      <w:r w:rsidDel="00000000" w:rsidR="00000000" w:rsidRPr="00000000">
        <w:rPr>
          <w:rtl w:val="0"/>
        </w:rPr>
        <w:t xml:space="preserve">abandono de cola(abandono definitivo o atención en agente),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283.46456692913375" w:hanging="360"/>
      </w:pPr>
      <w:r w:rsidDel="00000000" w:rsidR="00000000" w:rsidRPr="00000000">
        <w:rPr>
          <w:rtl w:val="0"/>
        </w:rPr>
        <w:t xml:space="preserve">fallas del ATM ( fuera de servicio ( falta de efectivo, falla técnica ) 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283.46456692913375" w:hanging="360"/>
      </w:pPr>
      <w:r w:rsidDel="00000000" w:rsidR="00000000" w:rsidRPr="00000000">
        <w:rPr>
          <w:rtl w:val="0"/>
        </w:rPr>
        <w:t xml:space="preserve">Saturación en horas pico (intervalos de horas/días con mayor saturación 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283.46456692913375" w:hanging="360"/>
        <w:rPr>
          <w:u w:val="none"/>
        </w:rPr>
      </w:pPr>
      <w:r w:rsidDel="00000000" w:rsidR="00000000" w:rsidRPr="00000000">
        <w:rPr>
          <w:color w:val="000000"/>
          <w:rtl w:val="0"/>
        </w:rPr>
        <w:t xml:space="preserve">Tipificación de Usuarios (Estratificación):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Puntos a Considerar: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Disciplina de la Cola (Notación de Kendall): M/M/4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Tipificación de Usuarios (Estratificación):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Intervalo de tiempo que permite una menor disposición de efectivo (10pm - 5am menor cantidad de efectivo posible de retirar).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Eventos de Mantenimiento (fallas técnicas (falta de efectivo), considera el tiempo muerto programado, como el reinicio de los sistemas o el proceso de recarga de efectivo por parte del camión de caudales, lo cual bloquea los cajeros por un tiempo determinado (tiempo de interrupción).)</w:t>
      </w:r>
    </w:p>
    <w:p w:rsidR="00000000" w:rsidDel="00000000" w:rsidP="00000000" w:rsidRDefault="00000000" w:rsidRPr="00000000" w14:paraId="00000012">
      <w:pPr>
        <w:spacing w:after="240" w:before="240" w:lineRule="auto"/>
        <w:ind w:left="283.46456692913375" w:firstLine="0"/>
        <w:rPr/>
      </w:pPr>
      <w:r w:rsidDel="00000000" w:rsidR="00000000" w:rsidRPr="00000000">
        <w:rPr>
          <w:rtl w:val="0"/>
        </w:rPr>
        <w:t xml:space="preserve">Tiempos de muestreo: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283.46456692913375" w:hanging="360"/>
        <w:rPr>
          <w:u w:val="none"/>
        </w:rPr>
      </w:pPr>
      <w:r w:rsidDel="00000000" w:rsidR="00000000" w:rsidRPr="00000000">
        <w:rPr>
          <w:rtl w:val="0"/>
        </w:rPr>
        <w:t xml:space="preserve">07/05 - 13/05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283.46456692913375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000000"/>
          <w:rtl w:val="0"/>
        </w:rPr>
        <w:t xml:space="preserve">SimPy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SQL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Dashboard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Modelo/Distribucion Probabilistico/Matematico: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Gráficos: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 de Flujo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7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Animación: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rPr>
          <w:rFonts w:ascii="Lexend Light" w:cs="Lexend Light" w:eastAsia="Lexend Light" w:hAnsi="Lexend Light"/>
          <w:color w:val="000000"/>
          <w:sz w:val="26"/>
          <w:szCs w:val="26"/>
        </w:rPr>
      </w:pPr>
      <w:bookmarkStart w:colFirst="0" w:colLast="0" w:name="_dc9nmafy1veo" w:id="0"/>
      <w:bookmarkEnd w:id="0"/>
      <w:r w:rsidDel="00000000" w:rsidR="00000000" w:rsidRPr="00000000">
        <w:rPr>
          <w:rFonts w:ascii="Lexend Light" w:cs="Lexend Light" w:eastAsia="Lexend Light" w:hAnsi="Lexend Light"/>
          <w:color w:val="000000"/>
          <w:sz w:val="26"/>
          <w:szCs w:val="26"/>
          <w:rtl w:val="0"/>
        </w:rPr>
        <w:t xml:space="preserve">Métricas de Salida (KPIs de la Simulación) A MEJORAR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Tu objetivo no es solo animar el proceso, sino obtener datos para la toma de decisiones. Tu simulación debe calcular y arrojar al final: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00000"/>
          <w:rtl w:val="0"/>
        </w:rPr>
        <w:t xml:space="preserve">Wq​: Tiempo promedio de espera en la cola.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00000"/>
          <w:rtl w:val="0"/>
        </w:rPr>
        <w:t xml:space="preserve">Lq​: Longitud promedio de la cola (cuántas personas hay esperando en promedio).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00000"/>
          <w:rtl w:val="0"/>
        </w:rPr>
        <w:t xml:space="preserve">ρ: Factor de utilización del sistema (qué porcentaje del tiempo los 4 cajeros están ocupados).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Tasa de pérdida:</w:t>
      </w:r>
      <w:r w:rsidDel="00000000" w:rsidR="00000000" w:rsidRPr="00000000">
        <w:rPr>
          <w:color w:val="000000"/>
          <w:rtl w:val="0"/>
        </w:rPr>
        <w:t xml:space="preserve"> El porcentaje exacto de personas que abandonaron la cola por saturación.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Anexos: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607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3035"/>
        <w:tblGridChange w:id="0">
          <w:tblGrid>
            <w:gridCol w:w="2405"/>
            <w:gridCol w:w="30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hora_llegada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Hora que llega el usuario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tiempo_entre_llegadas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Diferencia entre usuarios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tipo_operacion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retiro, consulta, transferencia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tiempo_servicio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tiempo usando ATM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ATM_disponibles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número de cajeros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personas esperando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3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1910"/>
        <w:tblGridChange w:id="0">
          <w:tblGrid>
            <w:gridCol w:w="2000"/>
            <w:gridCol w:w="19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tiempo_espera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tiempo en cola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utilizacion_ATM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porcentaje de uso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longitud_cola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tamaño promedio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clientes_atendidos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clientes_perdidos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abandonos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exend Light">
    <w:embedRegular w:fontKey="{00000000-0000-0000-0000-000000000000}" r:id="rId1" w:subsetted="0"/>
    <w:embedBold w:fontKey="{00000000-0000-0000-0000-000000000000}" r:id="rId2" w:subsetted="0"/>
  </w:font>
  <w:font w:name="Libre Baskervill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Lexend">
    <w:embedRegular w:fontKey="{00000000-0000-0000-0000-000000000000}" r:id="rId7" w:subsetted="0"/>
    <w:embedBold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3.4645669291337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83.4645669291337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color w:val="1f1f1f"/>
        <w:sz w:val="24"/>
        <w:szCs w:val="24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Merriweather" w:cs="Merriweather" w:eastAsia="Merriweather" w:hAnsi="Merriweather"/>
      <w:b w:val="1"/>
      <w:bCs w:val="1"/>
      <w:color w:val="1f1f1f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Merriweather" w:cs="Merriweather" w:eastAsia="Merriweather" w:hAnsi="Merriweather"/>
      <w:b w:val="1"/>
      <w:bCs w:val="1"/>
      <w:color w:val="1f1f1f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Merriweather" w:cs="Merriweather" w:eastAsia="Merriweather" w:hAnsi="Merriweather"/>
      <w:b w:val="1"/>
      <w:bCs w:val="1"/>
      <w:color w:val="1f1f1f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Libre Baskerville" w:cs="Libre Baskerville" w:eastAsia="Libre Baskerville" w:hAnsi="Libre Baskerville"/>
      <w:b w:val="1"/>
      <w:bCs w:val="1"/>
      <w:color w:val="1f1f1f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Lexend" w:cs="Lexend" w:eastAsia="Lexend" w:hAnsi="Lexend"/>
      <w:b w:val="1"/>
      <w:bCs w:val="1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Lexend Light" w:cs="Lexend Light" w:eastAsia="Lexend Light" w:hAnsi="Lexend Light"/>
      <w:b w:val="1"/>
      <w:bCs w:val="1"/>
      <w:i w:val="1"/>
      <w:iCs w:val="1"/>
      <w:color w:val="1f1f1f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Merriweather" w:cs="Merriweather" w:eastAsia="Merriweather" w:hAnsi="Merriweather"/>
      <w:b w:val="1"/>
      <w:bCs w:val="1"/>
      <w:color w:val="1f1f1f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Lexend Light" w:cs="Lexend Light" w:eastAsia="Lexend Light" w:hAnsi="Lexend Light"/>
      <w:i w:val="1"/>
      <w:iCs w:val="1"/>
      <w:color w:val="1f1f1f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ibreBaskerville-regular.ttf"/><Relationship Id="rId4" Type="http://schemas.openxmlformats.org/officeDocument/2006/relationships/font" Target="fonts/LibreBaskerville-bold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LibreBaskerville-italic.ttf"/><Relationship Id="rId6" Type="http://schemas.openxmlformats.org/officeDocument/2006/relationships/font" Target="fonts/LibreBaskerville-boldItalic.ttf"/><Relationship Id="rId7" Type="http://schemas.openxmlformats.org/officeDocument/2006/relationships/font" Target="fonts/Lexend-regular.ttf"/><Relationship Id="rId8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