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p14">
  <w:body>
    <w:p>
      <w:pPr>
        <w:jc w:val="center"/>
      </w:pPr>
      <w:r>
        <w:rPr>
          <w:rFonts w:ascii="Arial" w:hAnsi="Arial" w:eastAsia="Arial"/>
          <w:b/>
          <w:color w:val="1F4E79"/>
          <w:sz w:val="36"/>
        </w:rPr>
        <w:t>ИИ Алго Трейд</w:t>
      </w:r>
    </w:p>
    <w:p>
      <w:pPr>
        <w:pStyle w:val="Title"/>
        <w:jc w:val="center"/>
      </w:pPr>
      <w:r>
        <w:t>ТЗ_001</w:t>
        <w:br/>
        <w:t>Витрина данных</w:t>
      </w:r>
    </w:p>
    <w:p>
      <w:pPr>
        <w:pStyle w:val="DocSubtitle"/>
        <w:jc w:val="center"/>
      </w:pPr>
      <w:r>
        <w:t>Первая система проекта. Версия 1.4: возвращены контракты качества данных, безопасности и наблюдаемости; добавлены нагрузочная проверка, полный реестр типов данных и расширенная схема PostgreSQL.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Версия</w:t>
            </w:r>
          </w:p>
        </w:tc>
        <w:tc>
          <w:tcPr>
            <w:tcW w:type="dxa" w:w="8064"/>
            <w:vAlign w:val="center"/>
          </w:tcPr>
          <w:p>
            <w:r>
              <w:t>1.4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Статус</w:t>
            </w:r>
          </w:p>
        </w:tc>
        <w:tc>
          <w:tcPr>
            <w:tcW w:type="dxa" w:w="80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проект технического задания для реализации первой очереди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Основание</w:t>
            </w:r>
          </w:p>
        </w:tc>
        <w:tc>
          <w:tcPr>
            <w:tcW w:type="dxa" w:w="80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рамочный архитектурный документ «ИИ Алго Трейд — Обзор системы и верхнеуровневая архитектура», версия 1.1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Главное решение</w:t>
            </w:r>
          </w:p>
        </w:tc>
        <w:tc>
          <w:tcPr>
            <w:tcW w:type="dxa" w:w="8064"/>
            <w:vAlign w:val="center"/>
          </w:tcPr>
          <w:p>
            <w:r>
              <w:t>Витрина данных строится вокруг потребностей в данных, контрактов качества, воспроизводимого хранения и независимости от одного API.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Обязательный контур хранения</w:t>
            </w:r>
          </w:p>
        </w:tc>
        <w:tc>
          <w:tcPr>
            <w:tcW w:type="dxa" w:w="80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PostgreSQL + ClickHouse + Redis; файловое хранилище через абстракцию IObjectStorage, целевой уровень — MinIO.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Целевые инструменты первой очереди</w:t>
            </w:r>
          </w:p>
        </w:tc>
        <w:tc>
          <w:tcPr>
            <w:tcW w:type="dxa" w:w="80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SBER и SILV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Главное ограничение</w:t>
            </w:r>
          </w:p>
        </w:tc>
        <w:tc>
          <w:tcPr>
            <w:tcW w:type="dxa" w:w="80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реальная торговля выключена и технически недоступна в рамках ТЗ_001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Идентификаторы</w:t>
            </w:r>
          </w:p>
        </w:tc>
        <w:tc>
          <w:tcPr>
            <w:tcW w:type="dxa" w:w="80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для внутренних сущностей используется UUIDv7; в ClickHouse логические ID хранятся как UUID</w:t>
            </w:r>
          </w:p>
        </w:tc>
      </w:tr>
    </w:tbl>
    <w:p>
      <w:pPr>
        <w:pStyle w:val="SmallNote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B"/>
            <w:tcBorders>
              <w:top w:val="single" w:sz="6" w:color="5B9BD5"/>
              <w:left w:val="single" w:sz="6" w:color="5B9BD5"/>
              <w:bottom w:val="single" w:sz="6" w:color="5B9BD5"/>
              <w:right w:val="single" w:sz="6" w:color="5B9BD5"/>
            </w:tcBorders>
          </w:tcPr>
          <w:p>
            <w:r>
              <w:t>Ключевое решение v1.4</w:t>
              <w:br/>
              <w:t>ТЗ фиксирует структуру, контракты, границы ответственности, качество данных, безопасность и наблюдаемость. Формулы, пороги и конкретные значения живут в профилях и реестрах.</w:t>
            </w:r>
          </w:p>
        </w:tc>
      </w:tr>
    </w:tbl>
    <w:p>
      <w:pPr>
        <w:pStyle w:val="SmallNote"/>
      </w:pPr>
    </w:p>
    <w:p>
      <w:r>
        <w:br w:type="page"/>
      </w:r>
    </w:p>
    <w:p>
      <w:pPr>
        <w:pStyle w:val="Heading1"/>
      </w:pPr>
      <w:r>
        <w:t>Содержание</w:t>
      </w:r>
    </w:p>
    <w:p>
      <w:pPr>
        <w:ind w:left="259" w:hanging="173"/>
      </w:pPr>
      <w:r>
        <w:t>• 1. Назначение документа</w:t>
      </w:r>
    </w:p>
    <w:p>
      <w:pPr>
        <w:ind w:left="259" w:hanging="173"/>
      </w:pPr>
      <w:r>
        <w:t>• 2. Что изменено в версии 1.4</w:t>
      </w:r>
    </w:p>
    <w:p>
      <w:pPr>
        <w:ind w:left="259" w:hanging="173"/>
      </w:pPr>
      <w:r>
        <w:t>• 3. Архитектурная философия: контракт важнее формулы</w:t>
      </w:r>
    </w:p>
    <w:p>
      <w:pPr>
        <w:ind w:left="259" w:hanging="173"/>
      </w:pPr>
      <w:r>
        <w:t>• 4. Границы первой очереди</w:t>
      </w:r>
    </w:p>
    <w:p>
      <w:pPr>
        <w:ind w:left="259" w:hanging="173"/>
      </w:pPr>
      <w:r>
        <w:t>• 5. Состав данных: потребность → источник-кандидат → каноническая модель</w:t>
      </w:r>
    </w:p>
    <w:p>
      <w:pPr>
        <w:ind w:left="259" w:hanging="173"/>
      </w:pPr>
      <w:r>
        <w:t>• 6. Реестр типов данных</w:t>
      </w:r>
    </w:p>
    <w:p>
      <w:pPr>
        <w:ind w:left="259" w:hanging="173"/>
      </w:pPr>
      <w:r>
        <w:t>• 7. Хранение данных</w:t>
      </w:r>
    </w:p>
    <w:p>
      <w:pPr>
        <w:ind w:left="259" w:hanging="173"/>
      </w:pPr>
      <w:r>
        <w:t>• 8. Идентификаторы UUIDv7</w:t>
      </w:r>
    </w:p>
    <w:p>
      <w:pPr>
        <w:ind w:left="259" w:hanging="173"/>
      </w:pPr>
      <w:r>
        <w:t>• 9. Часовые зоны</w:t>
      </w:r>
    </w:p>
    <w:p>
      <w:pPr>
        <w:ind w:left="259" w:hanging="173"/>
      </w:pPr>
      <w:r>
        <w:t>• 10. ClickHouse: обязательные таблицы и идемпотентность</w:t>
      </w:r>
    </w:p>
    <w:p>
      <w:pPr>
        <w:ind w:left="259" w:hanging="173"/>
      </w:pPr>
      <w:r>
        <w:t>• 11. Модели комиссий и проскальзывания</w:t>
      </w:r>
    </w:p>
    <w:p>
      <w:pPr>
        <w:ind w:left="259" w:hanging="173"/>
      </w:pPr>
      <w:r>
        <w:t>• 12. Производные свечи произвольной длины</w:t>
      </w:r>
    </w:p>
    <w:p>
      <w:pPr>
        <w:ind w:left="259" w:hanging="173"/>
      </w:pPr>
      <w:r>
        <w:t>• 13. Загрузка, ошибки и конфликты источников</w:t>
      </w:r>
    </w:p>
    <w:p>
      <w:pPr>
        <w:ind w:left="259" w:hanging="173"/>
      </w:pPr>
      <w:r>
        <w:t>• 14. Качество данных</w:t>
      </w:r>
    </w:p>
    <w:p>
      <w:pPr>
        <w:ind w:left="259" w:hanging="173"/>
      </w:pPr>
      <w:r>
        <w:t>• 15. API первой очереди</w:t>
      </w:r>
    </w:p>
    <w:p>
      <w:pPr>
        <w:ind w:left="259" w:hanging="173"/>
      </w:pPr>
      <w:r>
        <w:t>• 16. Фоновые задачи и Redis Streams</w:t>
      </w:r>
    </w:p>
    <w:p>
      <w:pPr>
        <w:ind w:left="259" w:hanging="173"/>
      </w:pPr>
      <w:r>
        <w:t>• 17. Контракты с ТЗ_002, ТЗ_003 и ТЗ_005</w:t>
      </w:r>
    </w:p>
    <w:p>
      <w:pPr>
        <w:ind w:left="259" w:hanging="173"/>
      </w:pPr>
      <w:r>
        <w:t>• 18. Пользовательский интерфейс</w:t>
      </w:r>
    </w:p>
    <w:p>
      <w:pPr>
        <w:ind w:left="259" w:hanging="173"/>
      </w:pPr>
      <w:r>
        <w:t>• 19. Инфраструктура: уровни готовности и Docker Compose profiles</w:t>
      </w:r>
    </w:p>
    <w:p>
      <w:pPr>
        <w:ind w:left="259" w:hanging="173"/>
      </w:pPr>
      <w:r>
        <w:t>• 20. Безопасность</w:t>
      </w:r>
    </w:p>
    <w:p>
      <w:pPr>
        <w:ind w:left="259" w:hanging="173"/>
      </w:pPr>
      <w:r>
        <w:t>• 21. Наблюдаемость</w:t>
      </w:r>
    </w:p>
    <w:p>
      <w:pPr>
        <w:ind w:left="259" w:hanging="173"/>
      </w:pPr>
      <w:r>
        <w:t>• 22. Миграции</w:t>
      </w:r>
    </w:p>
    <w:p>
      <w:pPr>
        <w:ind w:left="259" w:hanging="173"/>
      </w:pPr>
      <w:r>
        <w:t>• 23. Хранение, архивация и очистка</w:t>
      </w:r>
    </w:p>
    <w:p>
      <w:pPr>
        <w:ind w:left="259" w:hanging="173"/>
      </w:pPr>
      <w:r>
        <w:t>• 24. Производительность</w:t>
      </w:r>
    </w:p>
    <w:p>
      <w:pPr>
        <w:ind w:left="259" w:hanging="173"/>
      </w:pPr>
      <w:r>
        <w:t>• 25. Тестирование</w:t>
      </w:r>
    </w:p>
    <w:p>
      <w:r>
        <w:t>• 26. Порядок реализации</w:t>
      </w:r>
    </w:p>
    <w:p>
      <w:pPr>
        <w:pStyle w:val="Heading1"/>
      </w:pPr>
      <w:r>
        <w:t>• 27. Критерии готовности</w:t>
      </w:r>
    </w:p>
    <w:p>
      <w:r>
        <w:t>• Приложения</w:t>
      </w:r>
    </w:p>
    <w:p>
      <w:r>
        <w:t>Витрина данных — это промышленно-подобный контур сбора, хранения, проверки и подготовки данных для аналитики, исторической проверки стратегий, будущих моделей и безопасного торгового контура. Это не торговый робот и не разовый исследовательский скрипт.</w:t>
      </w:r>
    </w:p>
    <w:p>
      <w:r>
        <w:t>Документ задаёт структуру системы, правила хранения, контракты данных, API, фоновые задачи, границы с другими компонентами и требования к локальному развёртыванию. Конкретные параметры расчётов управляются через профили, конфигурацию и версии расчёта.</w:t>
      </w:r>
    </w:p>
    <w:p>
      <w:pPr>
        <w:pStyle w:val="Heading1"/>
      </w:pPr>
      <w:r>
        <w:t>2. Что изменено в версии 1.4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Область</w:t>
            </w:r>
          </w:p>
        </w:tc>
        <w:tc>
          <w:tcPr>
            <w:tcW w:type="dxa" w:w="8064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Изменение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Формулы признаков и меток</w:t>
            </w:r>
          </w:p>
        </w:tc>
        <w:tc>
          <w:tcPr>
            <w:tcW w:type="dxa" w:w="80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Не фиксируются в ТЗ. ТЗ описывает контракт признака/метки и место хранения профиля расчёта.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Комиссии и проскальзывание</w:t>
            </w:r>
          </w:p>
        </w:tc>
        <w:tc>
          <w:tcPr>
            <w:tcW w:type="dxa" w:w="80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Значения не хардкодятся. Расширена структура моделей: тип модели, область применения, параметры, версии.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Сделки</w:t>
            </w:r>
          </w:p>
        </w:tc>
        <w:tc>
          <w:tcPr>
            <w:tcW w:type="dxa" w:w="80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Разделены рыночные сделки и собственные брокерские сделки пользователя.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ClickHouse</w:t>
            </w:r>
          </w:p>
        </w:tc>
        <w:tc>
          <w:tcPr>
            <w:tcW w:type="dxa" w:w="80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Добавлены структуры таблиц feature_values, label_values, derived_candles, market_events, data_quality_points.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UUIDv7</w:t>
            </w:r>
          </w:p>
        </w:tc>
        <w:tc>
          <w:tcPr>
            <w:tcW w:type="dxa" w:w="80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Устранено противоречие с UInt64: логические ID в ClickHouse хранятся как UUID; числовые surrogate-ключи допустимы только как внутренняя оптимизация.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Минутные свечи</w:t>
            </w:r>
          </w:p>
        </w:tc>
        <w:tc>
          <w:tcPr>
            <w:tcW w:type="dxa" w:w="80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1m становится базовым рядом для построения производных свечей произвольной длины.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Ошибки загрузки</w:t>
            </w:r>
          </w:p>
        </w:tc>
        <w:tc>
          <w:tcPr>
            <w:tcW w:type="dxa" w:w="80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Добавлена стратегия обработки 429, 5xx, таймаутов, обрывов, частичных ответов и повреждённых данных.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Конфликты источников</w:t>
            </w:r>
          </w:p>
        </w:tc>
        <w:tc>
          <w:tcPr>
            <w:tcW w:type="dxa" w:w="80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Добавлено правило: хранить варианты по источникам, а канонический слой выбирать по приоритету источника и версии.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Инфраструктура</w:t>
            </w:r>
          </w:p>
        </w:tc>
        <w:tc>
          <w:tcPr>
            <w:tcW w:type="dxa" w:w="80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Введены уровни готовности: базовый запуск, промышленно-подобное хранение, полная наблюдаемость. Целевой уровень первой реализации — уровень 2.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Операционный план</w:t>
            </w:r>
          </w:p>
        </w:tc>
        <w:tc>
          <w:tcPr>
            <w:tcW w:type="dxa" w:w="80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Раздел «что сделать сегодня/на неделе» заменён на фазированный план реализации.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Качество данных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Возвращён каталог проверок как контракт. Пороги и серьёзность задаются профилями.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Безопасность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Возвращены правила секретов, токенов, публичности сервисов, SHA-256 исходников и аудита.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Наблюдаемость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Зафиксирован контракт структурных логов, минимальных метрик и трассировки даже без Grafana/Loki.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Нагрузочная проверка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Добавлен сценарий SBER/SILV за два года с минутным рядом, производными свечами, признаками и метками.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Полный реестр данных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Зафиксировано, что полный реестр типов данных ведётся отдельным рабочим документом и связан с data_needs.</w:t>
            </w:r>
          </w:p>
        </w:tc>
      </w:tr>
    </w:tbl>
    <w:p>
      <w:pPr>
        <w:pStyle w:val="SmallNote"/>
      </w:pPr>
    </w:p>
    <w:p>
      <w:pPr>
        <w:pStyle w:val="Heading1"/>
      </w:pPr>
      <w:r>
        <w:t>3. Архитектурная философия: контракт важнее формулы</w:t>
      </w:r>
    </w:p>
    <w:p>
      <w:r>
        <w:t>ТЗ не должно становиться местом хранения формул, окон расчёта, порогов, конкретных комиссий и параметров торговых гипотез. Такие значения меняются часто и должны управляться через систему.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B"/>
            <w:tcBorders>
              <w:top w:val="single" w:sz="6" w:color="5B9BD5"/>
              <w:left w:val="single" w:sz="6" w:color="5B9BD5"/>
              <w:bottom w:val="single" w:sz="6" w:color="5B9BD5"/>
              <w:right w:val="single" w:sz="6" w:color="5B9BD5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1F4E79"/>
                <w:sz w:val="19"/>
              </w:rPr>
              <w:t>Правило</w:t>
            </w:r>
          </w:p>
          <w:p>
            <w:pPr>
              <w:spacing w:after="60"/>
            </w:pPr>
            <w:r>
              <w:rPr>
                <w:rFonts w:ascii="Arial" w:hAnsi="Arial" w:eastAsia="Arial"/>
                <w:sz w:val="17"/>
              </w:rPr>
              <w:t>ТЗ фиксирует, какие сущности, поля, версии, статусы и контракты обязаны существовать. Профили фиксируют конкретную математику и параметры расчёта.</w:t>
            </w:r>
          </w:p>
        </w:tc>
      </w:tr>
    </w:tbl>
    <w:p>
      <w:pPr>
        <w:pStyle w:val="SmallNote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Профиль/таблица</w:t>
            </w:r>
          </w:p>
        </w:tc>
        <w:tc>
          <w:tcPr>
            <w:tcW w:type="dxa" w:w="7632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Что хранит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feature_profiles</w:t>
            </w:r>
          </w:p>
        </w:tc>
        <w:tc>
          <w:tcPr>
            <w:tcW w:type="dxa" w:w="763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формулы признаков, окна расчёта, наборы входных данных, единицы измерения, версия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label_profiles</w:t>
            </w:r>
          </w:p>
        </w:tc>
        <w:tc>
          <w:tcPr>
            <w:tcW w:type="dxa" w:w="763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горизонты меток, правила TP/SL, способ учёта комиссии и проскальзывания, версия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commission_models</w:t>
            </w:r>
          </w:p>
        </w:tc>
        <w:tc>
          <w:tcPr>
            <w:tcW w:type="dxa" w:w="763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тип комиссии, область применения, параметры, активность, версия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slippage_models</w:t>
            </w:r>
          </w:p>
        </w:tc>
        <w:tc>
          <w:tcPr>
            <w:tcW w:type="dxa" w:w="763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тип модели проскальзывания, источник параметров, версия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calculation_versions</w:t>
            </w:r>
          </w:p>
        </w:tc>
        <w:tc>
          <w:tcPr>
            <w:tcW w:type="dxa" w:w="763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связь версии профиля, версии кода и периода применения</w:t>
            </w:r>
          </w:p>
        </w:tc>
      </w:tr>
    </w:tbl>
    <w:p>
      <w:pPr>
        <w:pStyle w:val="SmallNote"/>
      </w:pPr>
    </w:p>
    <w:p>
      <w:pPr>
        <w:pStyle w:val="Heading1"/>
      </w:pPr>
      <w:r>
        <w:t>4. Границы первой очереди</w:t>
      </w:r>
    </w:p>
    <w:p>
      <w:pPr>
        <w:pStyle w:val="Heading2"/>
      </w:pPr>
      <w:r>
        <w:t>4.1. Входит</w:t>
      </w:r>
    </w:p>
    <w:p>
      <w:pPr>
        <w:ind w:left="259" w:hanging="173"/>
      </w:pPr>
      <w:r>
        <w:rPr>
          <w:b/>
        </w:rPr>
        <w:t xml:space="preserve">• </w:t>
      </w:r>
      <w:r>
        <w:t>реестр потребностей в данных и источников-кандидатов;</w:t>
      </w:r>
    </w:p>
    <w:p>
      <w:pPr>
        <w:ind w:left="259" w:hanging="173"/>
      </w:pPr>
      <w:r>
        <w:rPr>
          <w:b/>
        </w:rPr>
        <w:t xml:space="preserve">• </w:t>
      </w:r>
      <w:r>
        <w:t>загрузка минутных свечей как базового ряда для производных интервалов;</w:t>
      </w:r>
    </w:p>
    <w:p>
      <w:pPr>
        <w:ind w:left="259" w:hanging="173"/>
      </w:pPr>
      <w:r>
        <w:rPr>
          <w:b/>
        </w:rPr>
        <w:t xml:space="preserve">• </w:t>
      </w:r>
      <w:r>
        <w:t>построение производных свечей произвольной длины из минутных свечей;</w:t>
      </w:r>
    </w:p>
    <w:p>
      <w:pPr>
        <w:ind w:left="259" w:hanging="173"/>
      </w:pPr>
      <w:r>
        <w:rPr>
          <w:b/>
        </w:rPr>
        <w:t xml:space="preserve">• </w:t>
      </w:r>
      <w:r>
        <w:t>хранение временных рядов, признаков, меток и аналитики в ClickHouse;</w:t>
      </w:r>
    </w:p>
    <w:p>
      <w:pPr>
        <w:ind w:left="259" w:hanging="173"/>
      </w:pPr>
      <w:r>
        <w:rPr>
          <w:b/>
        </w:rPr>
        <w:t xml:space="preserve">• </w:t>
      </w:r>
      <w:r>
        <w:t>хранение профилей, заданий, аудита, источников и версий в PostgreSQL;</w:t>
      </w:r>
    </w:p>
    <w:p>
      <w:pPr>
        <w:ind w:left="259" w:hanging="173"/>
      </w:pPr>
      <w:r>
        <w:rPr>
          <w:b/>
        </w:rPr>
        <w:t xml:space="preserve">• </w:t>
      </w:r>
      <w:r>
        <w:t>очереди фоновых задач через Redis Streams с восстановлением из PostgreSQL;</w:t>
      </w:r>
    </w:p>
    <w:p>
      <w:pPr>
        <w:ind w:left="259" w:hanging="173"/>
      </w:pPr>
      <w:r>
        <w:rPr>
          <w:b/>
        </w:rPr>
        <w:t xml:space="preserve">• </w:t>
      </w:r>
      <w:r>
        <w:t>исходные объекты через IObjectStorage: локальный том на уровне 1, MinIO на уровне 2;</w:t>
      </w:r>
    </w:p>
    <w:p>
      <w:pPr>
        <w:ind w:left="259" w:hanging="173"/>
      </w:pPr>
      <w:r>
        <w:rPr>
          <w:b/>
        </w:rPr>
        <w:t xml:space="preserve">• </w:t>
      </w:r>
      <w:r>
        <w:t>базовый интерфейс управления данными, источниками, загрузками, качеством и аналитикой;</w:t>
      </w:r>
    </w:p>
    <w:p>
      <w:pPr>
        <w:ind w:left="259" w:hanging="173"/>
      </w:pPr>
      <w:r>
        <w:rPr>
          <w:b/>
        </w:rPr>
        <w:t xml:space="preserve">• </w:t>
      </w:r>
      <w:r>
        <w:t>контракты для аналитики, моделей и будущего торгового контура.</w:t>
      </w:r>
    </w:p>
    <w:p>
      <w:pPr>
        <w:pStyle w:val="Heading2"/>
      </w:pPr>
      <w:r>
        <w:t>4.2. Не входит</w:t>
      </w:r>
    </w:p>
    <w:p>
      <w:pPr>
        <w:ind w:left="259" w:hanging="173"/>
      </w:pPr>
      <w:r>
        <w:rPr>
          <w:b/>
        </w:rPr>
        <w:t xml:space="preserve">• </w:t>
      </w:r>
      <w:r>
        <w:t>реальная торговля и отправка заявок брокеру;</w:t>
      </w:r>
    </w:p>
    <w:p>
      <w:pPr>
        <w:ind w:left="259" w:hanging="173"/>
      </w:pPr>
      <w:r>
        <w:rPr>
          <w:b/>
        </w:rPr>
        <w:t xml:space="preserve">• </w:t>
      </w:r>
      <w:r>
        <w:t>окончательный выбор всех источников данных и их лимитов;</w:t>
      </w:r>
    </w:p>
    <w:p>
      <w:pPr>
        <w:ind w:left="259" w:hanging="173"/>
      </w:pPr>
      <w:r>
        <w:rPr>
          <w:b/>
        </w:rPr>
        <w:t xml:space="preserve">• </w:t>
      </w:r>
      <w:r>
        <w:t>промышленный новостной контур;</w:t>
      </w:r>
    </w:p>
    <w:p>
      <w:pPr>
        <w:ind w:left="259" w:hanging="173"/>
      </w:pPr>
      <w:r>
        <w:rPr>
          <w:b/>
        </w:rPr>
        <w:t xml:space="preserve">• </w:t>
      </w:r>
      <w:r>
        <w:t>полноценная нейросеть;</w:t>
      </w:r>
    </w:p>
    <w:p>
      <w:pPr>
        <w:ind w:left="259" w:hanging="173"/>
      </w:pPr>
      <w:r>
        <w:rPr>
          <w:b/>
        </w:rPr>
        <w:t xml:space="preserve">• </w:t>
      </w:r>
      <w:r>
        <w:t>сложный портфельный риск;</w:t>
      </w:r>
    </w:p>
    <w:p>
      <w:pPr>
        <w:ind w:left="259" w:hanging="173"/>
      </w:pPr>
      <w:r>
        <w:rPr>
          <w:b/>
        </w:rPr>
        <w:t xml:space="preserve">• </w:t>
      </w:r>
      <w:r>
        <w:t>высокочастотная торговля.</w:t>
      </w:r>
    </w:p>
    <w:p>
      <w:pPr>
        <w:pStyle w:val="Heading1"/>
      </w:pPr>
      <w:r>
        <w:t>5. Состав данных: потребность → источник-кандидат → каноническая модель</w:t>
      </w:r>
    </w:p>
    <w:p>
      <w:r>
        <w:t>Система не должна зависеть от одного источника данных. Один и тот же тип данных может быть получен из MOEX, БКС, файла, платного архива или внешнего поставщика. Поэтому первой сущностью является не endpoint, а потребность в данных.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Поле</w:t>
            </w:r>
          </w:p>
        </w:tc>
        <w:tc>
          <w:tcPr>
            <w:tcW w:type="dxa" w:w="8208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Смысл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data_need_code</w:t>
            </w:r>
          </w:p>
        </w:tc>
        <w:tc>
          <w:tcPr>
            <w:tcW w:type="dxa" w:w="82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код потребности: candles_1m, derived_candles, market_all_trades, broker_own_trades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business_purpose</w:t>
            </w:r>
          </w:p>
        </w:tc>
        <w:tc>
          <w:tcPr>
            <w:tcW w:type="dxa" w:w="82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зачем нужны данные: аналитика, признаки, метки, сверка, риск, исполнение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priority</w:t>
            </w:r>
          </w:p>
        </w:tc>
        <w:tc>
          <w:tcPr>
            <w:tcW w:type="dxa" w:w="82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must / should / could / later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source_candidates</w:t>
            </w:r>
          </w:p>
        </w:tc>
        <w:tc>
          <w:tcPr>
            <w:tcW w:type="dxa" w:w="82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MOEX_ISS, MOEX_PAID, BCS_API, BCS_REPORT, FILE_IMPORT, NEWS_OFFICIAL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research_status</w:t>
            </w:r>
          </w:p>
        </w:tc>
        <w:tc>
          <w:tcPr>
            <w:tcW w:type="dxa" w:w="82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not_checked, in_research, free_confirmed, paid_required, auth_required, limited_history, approved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storage_target</w:t>
            </w:r>
          </w:p>
        </w:tc>
        <w:tc>
          <w:tcPr>
            <w:tcW w:type="dxa" w:w="82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PostgreSQL, ClickHouse, объектное хранилище, Redis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canonical_model</w:t>
            </w:r>
          </w:p>
        </w:tc>
        <w:tc>
          <w:tcPr>
            <w:tcW w:type="dxa" w:w="82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внутренний контракт данных, независимый от источника</w:t>
            </w:r>
          </w:p>
        </w:tc>
      </w:tr>
    </w:tbl>
    <w:p>
      <w:pPr>
        <w:pStyle w:val="SmallNote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B"/>
            <w:tcBorders>
              <w:top w:val="single" w:sz="6" w:color="5B9BD5"/>
              <w:left w:val="single" w:sz="6" w:color="5B9BD5"/>
              <w:bottom w:val="single" w:sz="6" w:color="5B9BD5"/>
              <w:right w:val="single" w:sz="6" w:color="5B9BD5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1F4E79"/>
                <w:sz w:val="19"/>
              </w:rPr>
              <w:t>Отдельный исследовательский этап</w:t>
            </w:r>
          </w:p>
          <w:p>
            <w:pPr>
              <w:spacing w:after="60"/>
            </w:pPr>
            <w:r>
              <w:rPr>
                <w:rFonts w:ascii="Arial" w:hAnsi="Arial" w:eastAsia="Arial"/>
                <w:sz w:val="17"/>
              </w:rPr>
              <w:t>Ограничения БКС, глубина истории, точные endpoint, rate limits и технические ключи инструментов не фиксируются в этом ТЗ как готовые выводы. Они исследуются отдельными задачами и записываются в source_access_checks.</w:t>
            </w:r>
          </w:p>
        </w:tc>
      </w:tr>
    </w:tbl>
    <w:p>
      <w:pPr>
        <w:pStyle w:val="SmallNote"/>
      </w:pPr>
    </w:p>
    <w:p>
      <w:pPr>
        <w:pStyle w:val="Heading1"/>
      </w:pPr>
      <w:r>
        <w:t>6. Реестр типов данных</w:t>
      </w:r>
    </w:p>
    <w:p>
      <w:pPr>
        <w:pStyle w:val="Heading2"/>
      </w:pPr>
      <w:r>
        <w:t>6.1. Ключевые типы первой очереди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304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Код</w:t>
            </w:r>
          </w:p>
        </w:tc>
        <w:tc>
          <w:tcPr>
            <w:tcW w:type="dxa" w:w="3888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Тип данных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Приоритет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Хранилище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instrument_reference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справочники инструментов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must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PostgreSQL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trading_calendar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торговые дни и сессии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must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PostgreSQL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candles_1m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минутные свечи как базовый ряд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must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ClickHouse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derived_candles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свечи произвольной длины из 1m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must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ClickHouse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data_quality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качество данных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must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PostgreSQL + ClickHouse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feature_values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рассчитанные признаки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must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ClickHouse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label_values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целевые метки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must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ClickHouse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analytics_summary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агрегаты и отчёты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must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ClickHouse + PostgreSQL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raw_objects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исходные ответы и файлы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must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IObjectStorage + PostgreSQL metadata</w:t>
            </w:r>
          </w:p>
        </w:tc>
      </w:tr>
    </w:tbl>
    <w:p>
      <w:pPr>
        <w:pStyle w:val="SmallNote"/>
      </w:pPr>
    </w:p>
    <w:p>
      <w:pPr>
        <w:pStyle w:val="Heading2"/>
      </w:pPr>
      <w:r>
        <w:t>6.2. Рыночные сделки и собственные брокерские сделки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160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Код</w:t>
            </w:r>
          </w:p>
        </w:tc>
        <w:tc>
          <w:tcPr>
            <w:tcW w:type="dxa" w:w="3888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Смысл</w:t>
            </w:r>
          </w:p>
        </w:tc>
        <w:tc>
          <w:tcPr>
            <w:tcW w:type="dxa" w:w="3024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Кандидаты источника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Хранилище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market_all_trades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Все рыночные сделки по инструменту. Не привязаны к пользователю.</w:t>
            </w:r>
          </w:p>
        </w:tc>
        <w:tc>
          <w:tcPr>
            <w:tcW w:type="dxa" w:w="30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MOEX paid / MOEX ISS при доступе / другой поставщик</w:t>
            </w:r>
          </w:p>
        </w:tc>
        <w:tc>
          <w:tcPr>
            <w:tcW w:type="dxa" w:w="17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ClickHouse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broker_own_trades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Собственные сделки пользователя у брокера. Нужны для сверки фактических комиссий и исполнения.</w:t>
            </w:r>
          </w:p>
        </w:tc>
        <w:tc>
          <w:tcPr>
            <w:tcW w:type="dxa" w:w="30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БКС API / брокерские отчёты / файл</w:t>
            </w:r>
          </w:p>
        </w:tc>
        <w:tc>
          <w:tcPr>
            <w:tcW w:type="dxa" w:w="17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PostgreSQL + ClickHouse history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broker_orders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Собственные заявки пользователя. Используются в будущей торговле и журнале исполнения.</w:t>
            </w:r>
          </w:p>
        </w:tc>
        <w:tc>
          <w:tcPr>
            <w:tcW w:type="dxa" w:w="30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БКС API / отчёты</w:t>
            </w:r>
          </w:p>
        </w:tc>
        <w:tc>
          <w:tcPr>
            <w:tcW w:type="dxa" w:w="17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PostgreSQL</w:t>
            </w:r>
          </w:p>
        </w:tc>
      </w:tr>
    </w:tbl>
    <w:p>
      <w:pPr>
        <w:pStyle w:val="SmallNote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B"/>
            <w:tcBorders>
              <w:top w:val="single" w:sz="6" w:color="5B9BD5"/>
              <w:left w:val="single" w:sz="6" w:color="5B9BD5"/>
              <w:bottom w:val="single" w:sz="6" w:color="5B9BD5"/>
              <w:right w:val="single" w:sz="6" w:color="5B9BD5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1F4E79"/>
                <w:sz w:val="19"/>
              </w:rPr>
              <w:t>Правило разделения</w:t>
            </w:r>
          </w:p>
          <w:p>
            <w:pPr>
              <w:spacing w:after="60"/>
            </w:pPr>
            <w:r>
              <w:rPr>
                <w:rFonts w:ascii="Arial" w:hAnsi="Arial" w:eastAsia="Arial"/>
                <w:sz w:val="17"/>
              </w:rPr>
              <w:t>market_all_trades нельзя использовать как журнал собственных сделок, а broker_own_trades нельзя использовать как источник рыночной микроструктуры.</w:t>
            </w:r>
          </w:p>
        </w:tc>
      </w:tr>
    </w:tbl>
    <w:p>
      <w:pPr>
        <w:pStyle w:val="SmallNote"/>
      </w:pPr>
    </w:p>
    <w:p>
      <w:pPr/>
      <w:r>
        <w:t>Правило: если тип данных не реализуется в первой очереди, он всё равно может быть зарегистрирован в data_needs со статусом later или research_required.</w:t>
      </w:r>
    </w:p>
    <w:p>
      <w:pPr/>
      <w:r>
        <w:t>Брокерские данные: счета, позиции, лимиты, собственные заявки, собственные сделки, комиссии, отчёты. Нужны для сверки, виртуальной торговли и будущего торгового контура.</w:t>
      </w:r>
    </w:p>
    <w:p>
      <w:pPr/>
      <w:r>
        <w:t>Корпоративные события: дивиденды, отчётность, сплиты, оферты, допэмиссии. Нужны для объяснения гэпов, фильтрации событийного риска и корректировки истории.</w:t>
      </w:r>
    </w:p>
    <w:p>
      <w:pPr/>
      <w:r>
        <w:t>Производные инструменты: экспирации, расчётная цена, открытый интерес, гарантийное обеспечение, вариационная маржа. Нужны, если SILV или следующий инструмент окажется срочным инструментом.</w:t>
      </w:r>
    </w:p>
    <w:p>
      <w:pPr/>
      <w:r>
        <w:t>В полном реестре должны сохраняться группы: производные инструменты; корпоративные события; внешний фон; брокерские данные; микроструктура рынка.</w:t>
      </w:r>
    </w:p>
    <w:p>
      <w:pPr/>
      <w:r>
        <w:t>ТЗ_001 сохраняет в основном тексте типы данных, нужные для первой реализации. Полный реестр типов данных ведётся отдельно как рабочий документ проекта и синхронизируется с data_needs.</w:t>
      </w:r>
    </w:p>
    <w:p>
      <w:pPr>
        <w:pStyle w:val="Heading2"/>
      </w:pPr>
      <w:r>
        <w:t>6.3. Полный реестр типов данных</w:t>
      </w:r>
    </w:p>
    <w:p>
      <w:pPr>
        <w:pStyle w:val="Heading1"/>
      </w:pPr>
      <w:r>
        <w:t>7. Хранение данных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Компонент</w:t>
            </w:r>
          </w:p>
        </w:tc>
        <w:tc>
          <w:tcPr>
            <w:tcW w:type="dxa" w:w="4896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Что хранит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Причина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PostgreSQL</w:t>
            </w:r>
          </w:p>
        </w:tc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профили, задания, источники, справочники, версии, аудит, сводные статусы</w:t>
            </w:r>
          </w:p>
        </w:tc>
        <w:tc>
          <w:tcPr>
            <w:tcW w:type="dxa" w:w="34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транзакции, связи, ограничения, управленческая модель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ClickHouse</w:t>
            </w:r>
          </w:p>
        </w:tc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свечи, производные свечи, сделки, котировки, стакан, признаки, метки, события, агрегаты</w:t>
            </w:r>
          </w:p>
        </w:tc>
        <w:tc>
          <w:tcPr>
            <w:tcW w:type="dxa" w:w="34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быстрая аналитика по временным рядам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IObjectStorage</w:t>
            </w:r>
          </w:p>
        </w:tc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исходные ответы, архивы, отчёты, импорты, экспорты, резервные копии</w:t>
            </w:r>
          </w:p>
        </w:tc>
        <w:tc>
          <w:tcPr>
            <w:tcW w:type="dxa" w:w="34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крупные неизменяемые объекты вне БД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Redis</w:t>
            </w:r>
          </w:p>
        </w:tc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очереди, временные статусы, кэш, блокировки обработки</w:t>
            </w:r>
          </w:p>
        </w:tc>
        <w:tc>
          <w:tcPr>
            <w:tcW w:type="dxa" w:w="34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оперативный слой, не источник истины</w:t>
            </w:r>
          </w:p>
        </w:tc>
      </w:tr>
    </w:tbl>
    <w:p>
      <w:pPr>
        <w:pStyle w:val="SmallNote"/>
      </w:pPr>
    </w:p>
    <w:p>
      <w:r>
        <w:t>На уровне 1 IObjectStorage реализуется через локальный Docker-том. На целевом уровне первой реализации используется MinIO. Интерфейс хранения в коде должен быть одинаковым для обоих вариантов.</w:t>
      </w:r>
    </w:p>
    <w:p>
      <w:pPr>
        <w:pStyle w:val="Heading1"/>
      </w:pPr>
      <w:r>
        <w:t>8. Идентификаторы UUIDv7</w:t>
      </w:r>
    </w:p>
    <w:p>
      <w:r>
        <w:t>Для внутренних сущностей системы используется UUIDv7.</w:t>
      </w:r>
    </w:p>
    <w:p>
      <w:pPr>
        <w:ind w:left="259" w:hanging="173"/>
      </w:pPr>
      <w:r>
        <w:rPr>
          <w:b/>
        </w:rPr>
        <w:t xml:space="preserve">• </w:t>
      </w:r>
      <w:r>
        <w:t>UUIDv7 является 128-битным идентификатором с временной частью, что упрощает сортировку по времени создания.</w:t>
      </w:r>
    </w:p>
    <w:p>
      <w:pPr>
        <w:ind w:left="259" w:hanging="173"/>
      </w:pPr>
      <w:r>
        <w:rPr>
          <w:b/>
        </w:rPr>
        <w:t xml:space="preserve">• </w:t>
      </w:r>
      <w:r>
        <w:t>Идентификатор подходит для распределённой генерации без единого числового счётчика.</w:t>
      </w:r>
    </w:p>
    <w:p>
      <w:pPr>
        <w:ind w:left="259" w:hanging="173"/>
      </w:pPr>
      <w:r>
        <w:rPr>
          <w:b/>
        </w:rPr>
        <w:t xml:space="preserve">• </w:t>
      </w:r>
      <w:r>
        <w:t>В PostgreSQL ID хранятся в типе uuid.</w:t>
      </w:r>
    </w:p>
    <w:p>
      <w:pPr>
        <w:ind w:left="259" w:hanging="173"/>
      </w:pPr>
      <w:r>
        <w:rPr>
          <w:b/>
        </w:rPr>
        <w:t xml:space="preserve">• </w:t>
      </w:r>
      <w:r>
        <w:t>В ClickHouse логические ID также хранятся в типе UUID.</w:t>
      </w:r>
    </w:p>
    <w:p>
      <w:pPr>
        <w:ind w:left="259" w:hanging="173"/>
      </w:pPr>
      <w:r>
        <w:rPr>
          <w:b/>
        </w:rPr>
        <w:t xml:space="preserve">• </w:t>
      </w:r>
      <w:r>
        <w:t>UInt64 не используется как публичный или контрактный ID. Допустим только внутренний surrogate-ключ для оптимизации словарей или материализованных представлений, если он не выходит в API и контракты.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Слой</w:t>
            </w:r>
          </w:p>
        </w:tc>
        <w:tc>
          <w:tcPr>
            <w:tcW w:type="dxa" w:w="2304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Тип</w:t>
            </w:r>
          </w:p>
        </w:tc>
        <w:tc>
          <w:tcPr>
            <w:tcW w:type="dxa" w:w="5760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Правило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PostgreSQL</w:t>
            </w:r>
          </w:p>
        </w:tc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uuid</w:t>
            </w:r>
          </w:p>
        </w:tc>
        <w:tc>
          <w:tcPr>
            <w:tcW w:type="dxa" w:w="57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основной тип ID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ClickHouse</w:t>
            </w:r>
          </w:p>
        </w:tc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UUID</w:t>
            </w:r>
          </w:p>
        </w:tc>
        <w:tc>
          <w:tcPr>
            <w:tcW w:type="dxa" w:w="57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логический ID в таблицах временных рядов и расчётов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API</w:t>
            </w:r>
          </w:p>
        </w:tc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UUID</w:t>
            </w:r>
          </w:p>
        </w:tc>
        <w:tc>
          <w:tcPr>
            <w:tcW w:type="dxa" w:w="57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передача идентификаторов в JSON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Redis Streams</w:t>
            </w:r>
          </w:p>
        </w:tc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строковое значение UUID</w:t>
            </w:r>
          </w:p>
        </w:tc>
        <w:tc>
          <w:tcPr>
            <w:tcW w:type="dxa" w:w="57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job_id, correlation_id, raw_object_id</w:t>
            </w:r>
          </w:p>
        </w:tc>
      </w:tr>
    </w:tbl>
    <w:p>
      <w:pPr>
        <w:pStyle w:val="SmallNote"/>
      </w:pPr>
    </w:p>
    <w:p>
      <w:pPr>
        <w:pStyle w:val="Heading1"/>
      </w:pPr>
      <w:r>
        <w:t>9. Часовые зоны</w:t>
      </w:r>
    </w:p>
    <w:p>
      <w:r>
        <w:t>Все временные данные должны храниться однозначно. Ошибки часовых зон приводят к неправильным торговым дням, ложным пропускам и неверным производным свечам.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Понятие</w:t>
            </w:r>
          </w:p>
        </w:tc>
        <w:tc>
          <w:tcPr>
            <w:tcW w:type="dxa" w:w="7632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Правило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source_time_zone</w:t>
            </w:r>
          </w:p>
        </w:tc>
        <w:tc>
          <w:tcPr>
            <w:tcW w:type="dxa" w:w="763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часовой пояс исходного источника, если он явно задан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exchange_time_zone</w:t>
            </w:r>
          </w:p>
        </w:tc>
        <w:tc>
          <w:tcPr>
            <w:tcW w:type="dxa" w:w="763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часовой пояс биржи/торговой площадки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stored_time_zone</w:t>
            </w:r>
          </w:p>
        </w:tc>
        <w:tc>
          <w:tcPr>
            <w:tcW w:type="dxa" w:w="763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UTC для хранения в PostgreSQL и ClickHouse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display_time_zone</w:t>
            </w:r>
          </w:p>
        </w:tc>
        <w:tc>
          <w:tcPr>
            <w:tcW w:type="dxa" w:w="763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Europe/Moscow для торговых сессий Московской биржи, если речь о рынке РФ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user_time_zone</w:t>
            </w:r>
          </w:p>
        </w:tc>
        <w:tc>
          <w:tcPr>
            <w:tcW w:type="dxa" w:w="763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Europe/Vienna для пользовательских дат и интерфейса, если требуется</w:t>
            </w:r>
          </w:p>
        </w:tc>
      </w:tr>
    </w:tbl>
    <w:p>
      <w:pPr>
        <w:pStyle w:val="SmallNote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B"/>
            <w:tcBorders>
              <w:top w:val="single" w:sz="6" w:color="5B9BD5"/>
              <w:left w:val="single" w:sz="6" w:color="5B9BD5"/>
              <w:bottom w:val="single" w:sz="6" w:color="5B9BD5"/>
              <w:right w:val="single" w:sz="6" w:color="5B9BD5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1F4E79"/>
                <w:sz w:val="19"/>
              </w:rPr>
              <w:t>Правило</w:t>
            </w:r>
          </w:p>
          <w:p>
            <w:pPr>
              <w:spacing w:after="60"/>
            </w:pPr>
            <w:r>
              <w:rPr>
                <w:rFonts w:ascii="Arial" w:hAnsi="Arial" w:eastAsia="Arial"/>
                <w:sz w:val="17"/>
              </w:rPr>
              <w:t>В ClickHouse timestamp хранится как DateTime64(3, UTC). Для отображения и проверки торговых сессий используется отдельная логика календаря торгов.</w:t>
            </w:r>
          </w:p>
        </w:tc>
      </w:tr>
    </w:tbl>
    <w:p>
      <w:pPr>
        <w:pStyle w:val="SmallNote"/>
      </w:pPr>
    </w:p>
    <w:p>
      <w:pPr>
        <w:pStyle w:val="Heading1"/>
      </w:pPr>
      <w:r>
        <w:t>10. ClickHouse: обязательные таблицы и идемпотентность</w:t>
      </w:r>
    </w:p>
    <w:p>
      <w:pPr>
        <w:pStyle w:val="Heading2"/>
      </w:pPr>
      <w:r>
        <w:t>10.1. Общие правила ClickHouse</w:t>
      </w:r>
    </w:p>
    <w:p>
      <w:pPr>
        <w:ind w:left="259" w:hanging="173"/>
      </w:pPr>
      <w:r>
        <w:rPr>
          <w:b/>
        </w:rPr>
        <w:t xml:space="preserve">• </w:t>
      </w:r>
      <w:r>
        <w:t>ClickHouse хранит большие временные ряды и расчётные данные.</w:t>
      </w:r>
    </w:p>
    <w:p>
      <w:pPr>
        <w:ind w:left="259" w:hanging="173"/>
      </w:pPr>
      <w:r>
        <w:rPr>
          <w:b/>
        </w:rPr>
        <w:t xml:space="preserve">• </w:t>
      </w:r>
      <w:r>
        <w:t>Логические ID представлены типом UUID.</w:t>
      </w:r>
    </w:p>
    <w:p>
      <w:pPr>
        <w:ind w:left="259" w:hanging="173"/>
      </w:pPr>
      <w:r>
        <w:rPr>
          <w:b/>
        </w:rPr>
        <w:t xml:space="preserve">• </w:t>
      </w:r>
      <w:r>
        <w:t>Идемпотентность не должна полагаться только на ReplacingMergeTree, потому что физические дубли могут существовать до слияния частей.</w:t>
      </w:r>
    </w:p>
    <w:p>
      <w:pPr>
        <w:ind w:left="259" w:hanging="173"/>
      </w:pPr>
      <w:r>
        <w:rPr>
          <w:b/>
        </w:rPr>
        <w:t xml:space="preserve">• </w:t>
      </w:r>
      <w:r>
        <w:t>Для загрузки используется staging-таблица или staging-партия с последующей вставкой в основную таблицу.</w:t>
      </w:r>
    </w:p>
    <w:p>
      <w:pPr>
        <w:ind w:left="259" w:hanging="173"/>
      </w:pPr>
      <w:r>
        <w:rPr>
          <w:b/>
        </w:rPr>
        <w:t xml:space="preserve">• </w:t>
      </w:r>
      <w:r>
        <w:t>Аналитические запросы должны читать последнее состояние через представление или запрос с учётом version/inserted_at.</w:t>
      </w:r>
    </w:p>
    <w:p>
      <w:pPr>
        <w:pStyle w:val="Heading2"/>
      </w:pPr>
      <w:r>
        <w:t>10.2. market_candles</w:t>
      </w:r>
    </w:p>
    <w:p>
      <w:pPr>
        <w:pStyle w:val="CodeBlock"/>
      </w:pPr>
      <w:r>
        <w:t>CREATE TABLE market_candles</w:t>
      </w:r>
    </w:p>
    <w:p>
      <w:pPr>
        <w:pStyle w:val="CodeBlock"/>
      </w:pPr>
      <w:r>
        <w:t>(</w:t>
      </w:r>
    </w:p>
    <w:p>
      <w:pPr>
        <w:pStyle w:val="CodeBlock"/>
      </w:pPr>
      <w:r>
        <w:t xml:space="preserve">    instrument_id UUID,</w:t>
      </w:r>
    </w:p>
    <w:p>
      <w:pPr>
        <w:pStyle w:val="CodeBlock"/>
      </w:pPr>
      <w:r>
        <w:t xml:space="preserve">    source_id UUID,</w:t>
      </w:r>
    </w:p>
    <w:p>
      <w:pPr>
        <w:pStyle w:val="CodeBlock"/>
      </w:pPr>
      <w:r>
        <w:t xml:space="preserve">    timeframe LowCardinality(String),</w:t>
      </w:r>
    </w:p>
    <w:p>
      <w:pPr>
        <w:pStyle w:val="CodeBlock"/>
      </w:pPr>
      <w:r>
        <w:t xml:space="preserve">    candle_time DateTime64(3, 'UTC'),</w:t>
      </w:r>
    </w:p>
    <w:p>
      <w:pPr>
        <w:pStyle w:val="CodeBlock"/>
      </w:pPr>
      <w:r>
        <w:t xml:space="preserve">    open Decimal(18, 6),</w:t>
      </w:r>
    </w:p>
    <w:p>
      <w:pPr>
        <w:pStyle w:val="CodeBlock"/>
      </w:pPr>
      <w:r>
        <w:t xml:space="preserve">    high Decimal(18, 6),</w:t>
      </w:r>
    </w:p>
    <w:p>
      <w:pPr>
        <w:pStyle w:val="CodeBlock"/>
      </w:pPr>
      <w:r>
        <w:t xml:space="preserve">    low Decimal(18, 6),</w:t>
      </w:r>
    </w:p>
    <w:p>
      <w:pPr>
        <w:pStyle w:val="CodeBlock"/>
      </w:pPr>
      <w:r>
        <w:t xml:space="preserve">    close Decimal(18, 6),</w:t>
      </w:r>
    </w:p>
    <w:p>
      <w:pPr>
        <w:pStyle w:val="CodeBlock"/>
      </w:pPr>
      <w:r>
        <w:t xml:space="preserve">    volume Decimal(20, 6),</w:t>
      </w:r>
    </w:p>
    <w:p>
      <w:pPr>
        <w:pStyle w:val="CodeBlock"/>
      </w:pPr>
      <w:r>
        <w:t xml:space="preserve">    value Decimal(20, 6),</w:t>
      </w:r>
    </w:p>
    <w:p>
      <w:pPr>
        <w:pStyle w:val="CodeBlock"/>
      </w:pPr>
      <w:r>
        <w:t xml:space="preserve">    raw_object_id UUID,</w:t>
      </w:r>
    </w:p>
    <w:p>
      <w:pPr>
        <w:pStyle w:val="CodeBlock"/>
      </w:pPr>
      <w:r>
        <w:t xml:space="preserve">    load_job_id UUID,</w:t>
      </w:r>
    </w:p>
    <w:p>
      <w:pPr>
        <w:pStyle w:val="CodeBlock"/>
      </w:pPr>
      <w:r>
        <w:t xml:space="preserve">    source_revision String,</w:t>
      </w:r>
    </w:p>
    <w:p>
      <w:pPr>
        <w:pStyle w:val="CodeBlock"/>
      </w:pPr>
      <w:r>
        <w:t xml:space="preserve">    row_hash String,</w:t>
      </w:r>
    </w:p>
    <w:p>
      <w:pPr>
        <w:pStyle w:val="CodeBlock"/>
      </w:pPr>
      <w:r>
        <w:t xml:space="preserve">    inserted_at DateTime64(3, 'UTC')</w:t>
      </w:r>
    </w:p>
    <w:p>
      <w:pPr>
        <w:pStyle w:val="CodeBlock"/>
      </w:pPr>
      <w:r>
        <w:t>)</w:t>
      </w:r>
    </w:p>
    <w:p>
      <w:pPr>
        <w:pStyle w:val="CodeBlock"/>
      </w:pPr>
      <w:r>
        <w:t>ENGINE = ReplacingMergeTree(inserted_at)</w:t>
      </w:r>
    </w:p>
    <w:p>
      <w:pPr>
        <w:pStyle w:val="CodeBlock"/>
      </w:pPr>
      <w:r>
        <w:t>PARTITION BY toYYYYMM(candle_time)</w:t>
      </w:r>
    </w:p>
    <w:p>
      <w:pPr>
        <w:pStyle w:val="CodeBlock"/>
      </w:pPr>
      <w:r>
        <w:t>ORDER BY (instrument_id, timeframe, candle_time, source_id);</w:t>
      </w:r>
    </w:p>
    <w:p>
      <w:pPr>
        <w:pStyle w:val="Heading2"/>
      </w:pPr>
      <w:r>
        <w:t>10.3. derived_candles</w:t>
      </w:r>
    </w:p>
    <w:p>
      <w:pPr>
        <w:pStyle w:val="CodeBlock"/>
      </w:pPr>
      <w:r>
        <w:t>CREATE TABLE derived_candles</w:t>
      </w:r>
    </w:p>
    <w:p>
      <w:pPr>
        <w:pStyle w:val="CodeBlock"/>
      </w:pPr>
      <w:r>
        <w:t>(</w:t>
      </w:r>
    </w:p>
    <w:p>
      <w:pPr>
        <w:pStyle w:val="CodeBlock"/>
      </w:pPr>
      <w:r>
        <w:t xml:space="preserve">    instrument_id UUID,</w:t>
      </w:r>
    </w:p>
    <w:p>
      <w:pPr>
        <w:pStyle w:val="CodeBlock"/>
      </w:pPr>
      <w:r>
        <w:t xml:space="preserve">    base_timeframe LowCardinality(String),</w:t>
      </w:r>
    </w:p>
    <w:p>
      <w:pPr>
        <w:pStyle w:val="CodeBlock"/>
      </w:pPr>
      <w:r>
        <w:t xml:space="preserve">    derived_timeframe_sec UInt32,</w:t>
      </w:r>
    </w:p>
    <w:p>
      <w:pPr>
        <w:pStyle w:val="CodeBlock"/>
      </w:pPr>
      <w:r>
        <w:t xml:space="preserve">    candle_time DateTime64(3, 'UTC'),</w:t>
      </w:r>
    </w:p>
    <w:p>
      <w:pPr>
        <w:pStyle w:val="CodeBlock"/>
      </w:pPr>
      <w:r>
        <w:t xml:space="preserve">    open Decimal(18, 6),</w:t>
      </w:r>
    </w:p>
    <w:p>
      <w:pPr>
        <w:pStyle w:val="CodeBlock"/>
      </w:pPr>
      <w:r>
        <w:t xml:space="preserve">    high Decimal(18, 6),</w:t>
      </w:r>
    </w:p>
    <w:p>
      <w:pPr>
        <w:pStyle w:val="CodeBlock"/>
      </w:pPr>
      <w:r>
        <w:t xml:space="preserve">    low Decimal(18, 6),</w:t>
      </w:r>
    </w:p>
    <w:p>
      <w:pPr>
        <w:pStyle w:val="CodeBlock"/>
      </w:pPr>
      <w:r>
        <w:t xml:space="preserve">    close Decimal(18, 6),</w:t>
      </w:r>
    </w:p>
    <w:p>
      <w:pPr>
        <w:pStyle w:val="CodeBlock"/>
      </w:pPr>
      <w:r>
        <w:t xml:space="preserve">    volume Decimal(20, 6),</w:t>
      </w:r>
    </w:p>
    <w:p>
      <w:pPr>
        <w:pStyle w:val="CodeBlock"/>
      </w:pPr>
      <w:r>
        <w:t xml:space="preserve">    value Decimal(20, 6),</w:t>
      </w:r>
    </w:p>
    <w:p>
      <w:pPr>
        <w:pStyle w:val="CodeBlock"/>
      </w:pPr>
      <w:r>
        <w:t xml:space="preserve">    source_from DateTime64(3, 'UTC'),</w:t>
      </w:r>
    </w:p>
    <w:p>
      <w:pPr>
        <w:pStyle w:val="CodeBlock"/>
      </w:pPr>
      <w:r>
        <w:t xml:space="preserve">    source_till DateTime64(3, 'UTC'),</w:t>
      </w:r>
    </w:p>
    <w:p>
      <w:pPr>
        <w:pStyle w:val="CodeBlock"/>
      </w:pPr>
      <w:r>
        <w:t xml:space="preserve">    calculation_version_id UUID,</w:t>
      </w:r>
    </w:p>
    <w:p>
      <w:pPr>
        <w:pStyle w:val="CodeBlock"/>
      </w:pPr>
      <w:r>
        <w:t xml:space="preserve">    build_job_id UUID,</w:t>
      </w:r>
    </w:p>
    <w:p>
      <w:pPr>
        <w:pStyle w:val="CodeBlock"/>
      </w:pPr>
      <w:r>
        <w:t xml:space="preserve">    row_hash String,</w:t>
      </w:r>
    </w:p>
    <w:p>
      <w:pPr>
        <w:pStyle w:val="CodeBlock"/>
      </w:pPr>
      <w:r>
        <w:t xml:space="preserve">    inserted_at DateTime64(3, 'UTC')</w:t>
      </w:r>
    </w:p>
    <w:p>
      <w:pPr>
        <w:pStyle w:val="CodeBlock"/>
      </w:pPr>
      <w:r>
        <w:t>)</w:t>
      </w:r>
    </w:p>
    <w:p>
      <w:pPr>
        <w:pStyle w:val="CodeBlock"/>
      </w:pPr>
      <w:r>
        <w:t>ENGINE = ReplacingMergeTree(inserted_at)</w:t>
      </w:r>
    </w:p>
    <w:p>
      <w:pPr>
        <w:pStyle w:val="CodeBlock"/>
      </w:pPr>
      <w:r>
        <w:t>PARTITION BY toYYYYMM(candle_time)</w:t>
      </w:r>
    </w:p>
    <w:p>
      <w:pPr>
        <w:pStyle w:val="CodeBlock"/>
      </w:pPr>
      <w:r>
        <w:t>ORDER BY (instrument_id, derived_timeframe_sec, candle_time, calculation_version_id);</w:t>
      </w:r>
    </w:p>
    <w:p>
      <w:pPr>
        <w:pStyle w:val="Heading2"/>
      </w:pPr>
      <w:r>
        <w:t>10.4. feature_values</w:t>
      </w:r>
    </w:p>
    <w:p>
      <w:pPr>
        <w:pStyle w:val="CodeBlock"/>
      </w:pPr>
      <w:r>
        <w:t>CREATE TABLE feature_values</w:t>
      </w:r>
    </w:p>
    <w:p>
      <w:pPr>
        <w:pStyle w:val="CodeBlock"/>
      </w:pPr>
      <w:r>
        <w:t>(</w:t>
      </w:r>
    </w:p>
    <w:p>
      <w:pPr>
        <w:pStyle w:val="CodeBlock"/>
      </w:pPr>
      <w:r>
        <w:t xml:space="preserve">    instrument_id UUID,</w:t>
      </w:r>
    </w:p>
    <w:p>
      <w:pPr>
        <w:pStyle w:val="CodeBlock"/>
      </w:pPr>
      <w:r>
        <w:t xml:space="preserve">    timeframe LowCardinality(String),</w:t>
      </w:r>
    </w:p>
    <w:p>
      <w:pPr>
        <w:pStyle w:val="CodeBlock"/>
      </w:pPr>
      <w:r>
        <w:t xml:space="preserve">    candle_time DateTime64(3, 'UTC'),</w:t>
      </w:r>
    </w:p>
    <w:p>
      <w:pPr>
        <w:pStyle w:val="CodeBlock"/>
      </w:pPr>
      <w:r>
        <w:t xml:space="preserve">    feature_code LowCardinality(String),</w:t>
      </w:r>
    </w:p>
    <w:p>
      <w:pPr>
        <w:pStyle w:val="CodeBlock"/>
      </w:pPr>
      <w:r>
        <w:t xml:space="preserve">    feature_value Float64,</w:t>
      </w:r>
    </w:p>
    <w:p>
      <w:pPr>
        <w:pStyle w:val="CodeBlock"/>
      </w:pPr>
      <w:r>
        <w:t xml:space="preserve">    value_type LowCardinality(String),</w:t>
      </w:r>
    </w:p>
    <w:p>
      <w:pPr>
        <w:pStyle w:val="CodeBlock"/>
      </w:pPr>
      <w:r>
        <w:t xml:space="preserve">    unit LowCardinality(String),</w:t>
      </w:r>
    </w:p>
    <w:p>
      <w:pPr>
        <w:pStyle w:val="CodeBlock"/>
      </w:pPr>
      <w:r>
        <w:t xml:space="preserve">    source_table LowCardinality(String),</w:t>
      </w:r>
    </w:p>
    <w:p>
      <w:pPr>
        <w:pStyle w:val="CodeBlock"/>
      </w:pPr>
      <w:r>
        <w:t xml:space="preserve">    feature_profile_id UUID,</w:t>
      </w:r>
    </w:p>
    <w:p>
      <w:pPr>
        <w:pStyle w:val="CodeBlock"/>
      </w:pPr>
      <w:r>
        <w:t xml:space="preserve">    calculation_version_id UUID,</w:t>
      </w:r>
    </w:p>
    <w:p>
      <w:pPr>
        <w:pStyle w:val="CodeBlock"/>
      </w:pPr>
      <w:r>
        <w:t xml:space="preserve">    build_job_id UUID,</w:t>
      </w:r>
    </w:p>
    <w:p>
      <w:pPr>
        <w:pStyle w:val="CodeBlock"/>
      </w:pPr>
      <w:r>
        <w:t xml:space="preserve">    inserted_at DateTime64(3, 'UTC')</w:t>
      </w:r>
    </w:p>
    <w:p>
      <w:pPr>
        <w:pStyle w:val="CodeBlock"/>
      </w:pPr>
      <w:r>
        <w:t>)</w:t>
      </w:r>
    </w:p>
    <w:p>
      <w:pPr>
        <w:pStyle w:val="CodeBlock"/>
      </w:pPr>
      <w:r>
        <w:t>ENGINE = ReplacingMergeTree(inserted_at)</w:t>
      </w:r>
    </w:p>
    <w:p>
      <w:pPr>
        <w:pStyle w:val="CodeBlock"/>
      </w:pPr>
      <w:r>
        <w:t>PARTITION BY toYYYYMM(candle_time)</w:t>
      </w:r>
    </w:p>
    <w:p>
      <w:pPr>
        <w:pStyle w:val="CodeBlock"/>
      </w:pPr>
      <w:r>
        <w:t>ORDER BY (instrument_id, timeframe, candle_time, feature_code, calculation_version_id);</w:t>
      </w:r>
    </w:p>
    <w:p>
      <w:pPr>
        <w:pStyle w:val="Heading2"/>
      </w:pPr>
      <w:r>
        <w:t>10.5. label_values</w:t>
      </w:r>
    </w:p>
    <w:p>
      <w:pPr>
        <w:pStyle w:val="CodeBlock"/>
      </w:pPr>
      <w:r>
        <w:t>CREATE TABLE label_values</w:t>
      </w:r>
    </w:p>
    <w:p>
      <w:pPr>
        <w:pStyle w:val="CodeBlock"/>
      </w:pPr>
      <w:r>
        <w:t>(</w:t>
      </w:r>
    </w:p>
    <w:p>
      <w:pPr>
        <w:pStyle w:val="CodeBlock"/>
      </w:pPr>
      <w:r>
        <w:t xml:space="preserve">    instrument_id UUID,</w:t>
      </w:r>
    </w:p>
    <w:p>
      <w:pPr>
        <w:pStyle w:val="CodeBlock"/>
      </w:pPr>
      <w:r>
        <w:t xml:space="preserve">    timeframe LowCardinality(String),</w:t>
      </w:r>
    </w:p>
    <w:p>
      <w:pPr>
        <w:pStyle w:val="CodeBlock"/>
      </w:pPr>
      <w:r>
        <w:t xml:space="preserve">    candle_time DateTime64(3, 'UTC'),</w:t>
      </w:r>
    </w:p>
    <w:p>
      <w:pPr>
        <w:pStyle w:val="CodeBlock"/>
      </w:pPr>
      <w:r>
        <w:t xml:space="preserve">    label_code LowCardinality(String),</w:t>
      </w:r>
    </w:p>
    <w:p>
      <w:pPr>
        <w:pStyle w:val="CodeBlock"/>
      </w:pPr>
      <w:r>
        <w:t xml:space="preserve">    label_value Float64,</w:t>
      </w:r>
    </w:p>
    <w:p>
      <w:pPr>
        <w:pStyle w:val="CodeBlock"/>
      </w:pPr>
      <w:r>
        <w:t xml:space="preserve">    label_class LowCardinality(String),</w:t>
      </w:r>
    </w:p>
    <w:p>
      <w:pPr>
        <w:pStyle w:val="CodeBlock"/>
      </w:pPr>
      <w:r>
        <w:t xml:space="preserve">    horizon_bars UInt32,</w:t>
      </w:r>
    </w:p>
    <w:p>
      <w:pPr>
        <w:pStyle w:val="CodeBlock"/>
      </w:pPr>
      <w:r>
        <w:t xml:space="preserve">    label_profile_id UUID,</w:t>
      </w:r>
    </w:p>
    <w:p>
      <w:pPr>
        <w:pStyle w:val="CodeBlock"/>
      </w:pPr>
      <w:r>
        <w:t xml:space="preserve">    calculation_version_id UUID,</w:t>
      </w:r>
    </w:p>
    <w:p>
      <w:pPr>
        <w:pStyle w:val="CodeBlock"/>
      </w:pPr>
      <w:r>
        <w:t xml:space="preserve">    build_job_id UUID,</w:t>
      </w:r>
    </w:p>
    <w:p>
      <w:pPr>
        <w:pStyle w:val="CodeBlock"/>
      </w:pPr>
      <w:r>
        <w:t xml:space="preserve">    inserted_at DateTime64(3, 'UTC')</w:t>
      </w:r>
    </w:p>
    <w:p>
      <w:pPr>
        <w:pStyle w:val="CodeBlock"/>
      </w:pPr>
      <w:r>
        <w:t>)</w:t>
      </w:r>
    </w:p>
    <w:p>
      <w:pPr>
        <w:pStyle w:val="CodeBlock"/>
      </w:pPr>
      <w:r>
        <w:t>ENGINE = ReplacingMergeTree(inserted_at)</w:t>
      </w:r>
    </w:p>
    <w:p>
      <w:pPr>
        <w:pStyle w:val="CodeBlock"/>
      </w:pPr>
      <w:r>
        <w:t>PARTITION BY toYYYYMM(candle_time)</w:t>
      </w:r>
    </w:p>
    <w:p>
      <w:pPr>
        <w:pStyle w:val="CodeBlock"/>
      </w:pPr>
      <w:r>
        <w:t>ORDER BY (instrument_id, timeframe, candle_time, label_code, calculation_version_id);</w:t>
      </w:r>
    </w:p>
    <w:p>
      <w:pPr>
        <w:pStyle w:val="Heading2"/>
      </w:pPr>
      <w:r>
        <w:t>10.6. Дополнительные таблицы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Таблица</w:t>
            </w:r>
          </w:p>
        </w:tc>
        <w:tc>
          <w:tcPr>
            <w:tcW w:type="dxa" w:w="5328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Назначение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Ключ сортировки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market_trades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рыночные сделки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(instrument_id, trade_time, source_id, trade_id)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broker_own_trades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собственные брокерские сделки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(account_id, trade_time, broker_trade_id)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market_quotes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лучшие котировки bid/ask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(instrument_id, quote_time, source_id)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orderbook_snapshots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снимки стакана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(instrument_id, snapshot_time, source_id)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market_events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price_spike, volume_spike, liquidity_drop и другие события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(instrument_id, event_time, event_code)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data_quality_points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детальные проблемы качества во временном ряду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(instrument_id, timeframe, event_time, check_code)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analytics_*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материализованные агрегаты и отчёты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по типу аналитики</w:t>
            </w:r>
          </w:p>
        </w:tc>
      </w:tr>
    </w:tbl>
    <w:p>
      <w:pPr>
        <w:pStyle w:val="SmallNote"/>
      </w:pPr>
    </w:p>
    <w:p>
      <w:pPr>
        <w:pStyle w:val="Heading2"/>
      </w:pPr>
      <w:r>
        <w:t>10.7. Идемпотентность записи</w:t>
      </w:r>
    </w:p>
    <w:p>
      <w:pPr>
        <w:ind w:left="317" w:hanging="245"/>
      </w:pPr>
      <w:r>
        <w:rPr>
          <w:b/>
        </w:rPr>
        <w:t xml:space="preserve">1. </w:t>
      </w:r>
      <w:r>
        <w:t>API создаёт job в PostgreSQL и присваивает job_id UUIDv7.</w:t>
      </w:r>
    </w:p>
    <w:p>
      <w:pPr>
        <w:ind w:left="317" w:hanging="245"/>
      </w:pPr>
      <w:r>
        <w:rPr>
          <w:b/>
        </w:rPr>
        <w:t xml:space="preserve">2. </w:t>
      </w:r>
      <w:r>
        <w:t>Worker загружает исходный объект и сохраняет raw_objects.</w:t>
      </w:r>
    </w:p>
    <w:p>
      <w:pPr>
        <w:ind w:left="317" w:hanging="245"/>
      </w:pPr>
      <w:r>
        <w:rPr>
          <w:b/>
        </w:rPr>
        <w:t xml:space="preserve">3. </w:t>
      </w:r>
      <w:r>
        <w:t>Данные пишутся во временную staging-область ClickHouse с batch_id.</w:t>
      </w:r>
    </w:p>
    <w:p>
      <w:pPr>
        <w:ind w:left="317" w:hanging="245"/>
      </w:pPr>
      <w:r>
        <w:rPr>
          <w:b/>
        </w:rPr>
        <w:t xml:space="preserve">4. </w:t>
      </w:r>
      <w:r>
        <w:t>Для каждой строки считается row_hash по каноническим полям.</w:t>
      </w:r>
    </w:p>
    <w:p>
      <w:pPr>
        <w:ind w:left="317" w:hanging="245"/>
      </w:pPr>
      <w:r>
        <w:rPr>
          <w:b/>
        </w:rPr>
        <w:t xml:space="preserve">5. </w:t>
      </w:r>
      <w:r>
        <w:t>Основная таблица получает запись с source_revision, row_hash и inserted_at.</w:t>
      </w:r>
    </w:p>
    <w:p>
      <w:pPr>
        <w:ind w:left="317" w:hanging="245"/>
      </w:pPr>
      <w:r>
        <w:rPr>
          <w:b/>
        </w:rPr>
        <w:t xml:space="preserve">6. </w:t>
      </w:r>
      <w:r>
        <w:t>Повторная загрузка того же периода не должна менять канонический результат, если источник не изменился.</w:t>
      </w:r>
    </w:p>
    <w:p>
      <w:pPr>
        <w:ind w:left="317" w:hanging="245"/>
      </w:pPr>
      <w:r>
        <w:rPr>
          <w:b/>
        </w:rPr>
        <w:t xml:space="preserve">7. </w:t>
      </w:r>
      <w:r>
        <w:t>Если источник изменился, старая версия не удаляется физически немедленно; актуальность определяется inserted_at/source_revision и представлением последнего состояния.</w:t>
      </w:r>
    </w:p>
    <w:p>
      <w:pPr>
        <w:pStyle w:val="Heading1"/>
      </w:pPr>
      <w:r>
        <w:t>11. Модели комиссий и проскальзывания</w:t>
      </w:r>
    </w:p>
    <w:p>
      <w:r>
        <w:t>ТЗ не фиксирует конкретные значения комиссии и проскальзывания. Оно фиксирует структуру моделей, чтобы система поддерживала акции, фонды, фьючерсы и разные брокерские тарифы.</w:t>
      </w:r>
    </w:p>
    <w:p>
      <w:pPr>
        <w:pStyle w:val="Heading2"/>
      </w:pPr>
      <w:r>
        <w:t>11.1. commission_models</w:t>
      </w:r>
    </w:p>
    <w:p>
      <w:pPr>
        <w:pStyle w:val="CodeBlock"/>
      </w:pPr>
      <w:r>
        <w:t>commission_models(</w:t>
      </w:r>
    </w:p>
    <w:p>
      <w:pPr>
        <w:pStyle w:val="CodeBlock"/>
      </w:pPr>
      <w:r>
        <w:t xml:space="preserve">    id uuid primary key,</w:t>
      </w:r>
    </w:p>
    <w:p>
      <w:pPr>
        <w:pStyle w:val="CodeBlock"/>
      </w:pPr>
      <w:r>
        <w:t xml:space="preserve">    code text not null,</w:t>
      </w:r>
    </w:p>
    <w:p>
      <w:pPr>
        <w:pStyle w:val="CodeBlock"/>
      </w:pPr>
      <w:r>
        <w:t xml:space="preserve">    name text not null,</w:t>
      </w:r>
    </w:p>
    <w:p>
      <w:pPr>
        <w:pStyle w:val="CodeBlock"/>
      </w:pPr>
      <w:r>
        <w:t xml:space="preserve">    model_type text not null,              -- percent, fixed_per_order, fixed_per_unit, tiered, composite</w:t>
      </w:r>
    </w:p>
    <w:p>
      <w:pPr>
        <w:pStyle w:val="CodeBlock"/>
      </w:pPr>
      <w:r>
        <w:t xml:space="preserve">    instrument_type text null,             -- equity, fund, futures, currency, metal, any</w:t>
      </w:r>
    </w:p>
    <w:p>
      <w:pPr>
        <w:pStyle w:val="CodeBlock"/>
      </w:pPr>
      <w:r>
        <w:t xml:space="preserve">    applies_to_entry boolean not null,</w:t>
      </w:r>
    </w:p>
    <w:p>
      <w:pPr>
        <w:pStyle w:val="CodeBlock"/>
      </w:pPr>
      <w:r>
        <w:t xml:space="preserve">    applies_to_exit boolean not null,</w:t>
      </w:r>
    </w:p>
    <w:p>
      <w:pPr>
        <w:pStyle w:val="CodeBlock"/>
      </w:pPr>
      <w:r>
        <w:t xml:space="preserve">    percent_value numeric null,</w:t>
      </w:r>
    </w:p>
    <w:p>
      <w:pPr>
        <w:pStyle w:val="CodeBlock"/>
      </w:pPr>
      <w:r>
        <w:t xml:space="preserve">    fixed_per_order numeric null,</w:t>
      </w:r>
    </w:p>
    <w:p>
      <w:pPr>
        <w:pStyle w:val="CodeBlock"/>
      </w:pPr>
      <w:r>
        <w:t xml:space="preserve">    fixed_per_unit numeric null,</w:t>
      </w:r>
    </w:p>
    <w:p>
      <w:pPr>
        <w:pStyle w:val="CodeBlock"/>
      </w:pPr>
      <w:r>
        <w:t xml:space="preserve">    currency text null,</w:t>
      </w:r>
    </w:p>
    <w:p>
      <w:pPr>
        <w:pStyle w:val="CodeBlock"/>
      </w:pPr>
      <w:r>
        <w:t xml:space="preserve">    min_commission numeric null,</w:t>
      </w:r>
    </w:p>
    <w:p>
      <w:pPr>
        <w:pStyle w:val="CodeBlock"/>
      </w:pPr>
      <w:r>
        <w:t xml:space="preserve">    max_commission numeric null,</w:t>
      </w:r>
    </w:p>
    <w:p>
      <w:pPr>
        <w:pStyle w:val="CodeBlock"/>
      </w:pPr>
      <w:r>
        <w:t xml:space="preserve">    parameters_json jsonb not null,</w:t>
      </w:r>
    </w:p>
    <w:p>
      <w:pPr>
        <w:pStyle w:val="CodeBlock"/>
      </w:pPr>
      <w:r>
        <w:t xml:space="preserve">    version integer not null,</w:t>
      </w:r>
    </w:p>
    <w:p>
      <w:pPr>
        <w:pStyle w:val="CodeBlock"/>
      </w:pPr>
      <w:r>
        <w:t xml:space="preserve">    is_active boolean not null,</w:t>
      </w:r>
    </w:p>
    <w:p>
      <w:pPr>
        <w:pStyle w:val="CodeBlock"/>
      </w:pPr>
      <w:r>
        <w:t xml:space="preserve">    created_at timestamptz not null</w:t>
      </w:r>
    </w:p>
    <w:p>
      <w:pPr>
        <w:pStyle w:val="CodeBlock"/>
      </w:pPr>
      <w:r>
        <w:t>)</w:t>
      </w:r>
    </w:p>
    <w:p>
      <w:pPr>
        <w:pStyle w:val="Heading2"/>
      </w:pPr>
      <w:r>
        <w:t>11.2. slippage_models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024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Тип модели</w:t>
            </w:r>
          </w:p>
        </w:tc>
        <w:tc>
          <w:tcPr>
            <w:tcW w:type="dxa" w:w="7488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Смысл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disabled</w:t>
            </w:r>
          </w:p>
        </w:tc>
        <w:tc>
          <w:tcPr>
            <w:tcW w:type="dxa" w:w="74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проскальзывание отключено для контрольного сравнения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fixed_pct</w:t>
            </w:r>
          </w:p>
        </w:tc>
        <w:tc>
          <w:tcPr>
            <w:tcW w:type="dxa" w:w="74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фиксированный процент от цены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fixed_price_step</w:t>
            </w:r>
          </w:p>
        </w:tc>
        <w:tc>
          <w:tcPr>
            <w:tcW w:type="dxa" w:w="74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фиксированное количество шагов цены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spread_based</w:t>
            </w:r>
          </w:p>
        </w:tc>
        <w:tc>
          <w:tcPr>
            <w:tcW w:type="dxa" w:w="74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модель от текущего или исторического спреда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volume_based</w:t>
            </w:r>
          </w:p>
        </w:tc>
        <w:tc>
          <w:tcPr>
            <w:tcW w:type="dxa" w:w="74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модель от объёма/ликвидности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hybrid</w:t>
            </w:r>
          </w:p>
        </w:tc>
        <w:tc>
          <w:tcPr>
            <w:tcW w:type="dxa" w:w="74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комбинация нескольких правил</w:t>
            </w:r>
          </w:p>
        </w:tc>
      </w:tr>
    </w:tbl>
    <w:p>
      <w:pPr>
        <w:pStyle w:val="SmallNote"/>
      </w:pPr>
    </w:p>
    <w:p>
      <w:pPr>
        <w:pStyle w:val="CodeBlock"/>
      </w:pPr>
      <w:r>
        <w:t>slippage_models(</w:t>
      </w:r>
    </w:p>
    <w:p>
      <w:pPr>
        <w:pStyle w:val="CodeBlock"/>
      </w:pPr>
      <w:r>
        <w:t xml:space="preserve">    id uuid primary key,</w:t>
      </w:r>
    </w:p>
    <w:p>
      <w:pPr>
        <w:pStyle w:val="CodeBlock"/>
      </w:pPr>
      <w:r>
        <w:t xml:space="preserve">    code text not null,</w:t>
      </w:r>
    </w:p>
    <w:p>
      <w:pPr>
        <w:pStyle w:val="CodeBlock"/>
      </w:pPr>
      <w:r>
        <w:t xml:space="preserve">    name text not null,</w:t>
      </w:r>
    </w:p>
    <w:p>
      <w:pPr>
        <w:pStyle w:val="CodeBlock"/>
      </w:pPr>
      <w:r>
        <w:t xml:space="preserve">    model_type text not null,</w:t>
      </w:r>
    </w:p>
    <w:p>
      <w:pPr>
        <w:pStyle w:val="CodeBlock"/>
      </w:pPr>
      <w:r>
        <w:t xml:space="preserve">    instrument_type text null,</w:t>
      </w:r>
    </w:p>
    <w:p>
      <w:pPr>
        <w:pStyle w:val="CodeBlock"/>
      </w:pPr>
      <w:r>
        <w:t xml:space="preserve">    parameters_json jsonb not null,</w:t>
      </w:r>
    </w:p>
    <w:p>
      <w:pPr>
        <w:pStyle w:val="CodeBlock"/>
      </w:pPr>
      <w:r>
        <w:t xml:space="preserve">    version integer not null,</w:t>
      </w:r>
    </w:p>
    <w:p>
      <w:pPr>
        <w:pStyle w:val="CodeBlock"/>
      </w:pPr>
      <w:r>
        <w:t xml:space="preserve">    is_active boolean not null,</w:t>
      </w:r>
    </w:p>
    <w:p>
      <w:pPr>
        <w:pStyle w:val="CodeBlock"/>
      </w:pPr>
      <w:r>
        <w:t xml:space="preserve">    created_at timestamptz not null</w:t>
      </w:r>
    </w:p>
    <w:p>
      <w:pPr>
        <w:pStyle w:val="CodeBlock"/>
      </w:pPr>
      <w:r>
        <w:t>)</w:t>
      </w:r>
    </w:p>
    <w:p>
      <w:pPr>
        <w:pStyle w:val="Heading1"/>
      </w:pPr>
      <w:r>
        <w:t>12. Производные свечи произвольной длины</w:t>
      </w:r>
    </w:p>
    <w:p>
      <w:r>
        <w:t>Система должна уметь строить свечи произвольной длины из минутных свечей. Это нужно, чтобы анализировать не только стандартные интервалы 5/10/30/60 минут, но и интервалы 2, 3, 7, 12, 15, 20, 45 минут и другие варианты без повторной загрузки источника.</w:t>
      </w:r>
    </w:p>
    <w:p>
      <w:pPr>
        <w:ind w:left="259" w:hanging="173"/>
      </w:pPr>
      <w:r>
        <w:rPr>
          <w:b/>
        </w:rPr>
        <w:t xml:space="preserve">• </w:t>
      </w:r>
      <w:r>
        <w:t>Базовый ряд: candles_1m.</w:t>
      </w:r>
    </w:p>
    <w:p>
      <w:pPr>
        <w:ind w:left="259" w:hanging="173"/>
      </w:pPr>
      <w:r>
        <w:rPr>
          <w:b/>
        </w:rPr>
        <w:t xml:space="preserve">• </w:t>
      </w:r>
      <w:r>
        <w:t>Производный интервал задаётся в секундах или минутах через derived_timeframe_sec.</w:t>
      </w:r>
    </w:p>
    <w:p>
      <w:pPr>
        <w:ind w:left="259" w:hanging="173"/>
      </w:pPr>
      <w:r>
        <w:rPr>
          <w:b/>
        </w:rPr>
        <w:t xml:space="preserve">• </w:t>
      </w:r>
      <w:r>
        <w:t>OHLCV строится по каноническим правилам агрегации: open первой свечи, high максимум, low минимум, close последней свечи, volume/value сумма.</w:t>
      </w:r>
    </w:p>
    <w:p>
      <w:pPr>
        <w:ind w:left="259" w:hanging="173"/>
      </w:pPr>
      <w:r>
        <w:rPr>
          <w:b/>
        </w:rPr>
        <w:t xml:space="preserve">• </w:t>
      </w:r>
      <w:r>
        <w:t>Неполные интервалы должны помечаться флагом качества, а не молча попадать в чистую выборку.</w:t>
      </w:r>
    </w:p>
    <w:p>
      <w:pPr>
        <w:ind w:left="259" w:hanging="173"/>
      </w:pPr>
      <w:r>
        <w:rPr>
          <w:b/>
        </w:rPr>
        <w:t xml:space="preserve">• </w:t>
      </w:r>
      <w:r>
        <w:t>Производные свечи имеют отдельную calculation_version_id.</w:t>
      </w:r>
    </w:p>
    <w:p>
      <w:pPr>
        <w:ind w:left="259" w:hanging="173"/>
      </w:pPr>
      <w:r>
        <w:rPr>
          <w:b/>
        </w:rPr>
        <w:t xml:space="preserve">• </w:t>
      </w:r>
      <w:r>
        <w:t>Пользовательский интерфейс должен позволять выбрать произвольный интервал для анализа после построения.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B"/>
            <w:tcBorders>
              <w:top w:val="single" w:sz="6" w:color="5B9BD5"/>
              <w:left w:val="single" w:sz="6" w:color="5B9BD5"/>
              <w:bottom w:val="single" w:sz="6" w:color="5B9BD5"/>
              <w:right w:val="single" w:sz="6" w:color="5B9BD5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1F4E79"/>
                <w:sz w:val="19"/>
              </w:rPr>
              <w:t>Фазировка</w:t>
            </w:r>
          </w:p>
          <w:p>
            <w:pPr>
              <w:spacing w:after="60"/>
            </w:pPr>
            <w:r>
              <w:rPr>
                <w:rFonts w:ascii="Arial" w:hAnsi="Arial" w:eastAsia="Arial"/>
                <w:sz w:val="17"/>
              </w:rPr>
              <w:t>Если минутные свечи являются базовым рядом, то этап загрузки первой очереди начинается с candles_1m. Стандартные 5/10/30/60 минут строятся из 1m как производные интервалы, если источник не предоставляет их напрямую или если нужен единый метод расчёта.</w:t>
            </w:r>
          </w:p>
        </w:tc>
      </w:tr>
    </w:tbl>
    <w:p>
      <w:pPr>
        <w:pStyle w:val="SmallNote"/>
      </w:pPr>
    </w:p>
    <w:p>
      <w:pPr>
        <w:pStyle w:val="Heading1"/>
      </w:pPr>
      <w:r>
        <w:t>13. Загрузка, ошибки и конфликты источников</w:t>
      </w:r>
    </w:p>
    <w:p>
      <w:pPr>
        <w:pStyle w:val="Heading2"/>
      </w:pPr>
      <w:r>
        <w:t>13.1. Стратегия обработки ошибок загрузки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Ситуация</w:t>
            </w:r>
          </w:p>
        </w:tc>
        <w:tc>
          <w:tcPr>
            <w:tcW w:type="dxa" w:w="7632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Поведение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429 / rate limit</w:t>
            </w:r>
          </w:p>
        </w:tc>
        <w:tc>
          <w:tcPr>
            <w:tcW w:type="dxa" w:w="763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пауза по retry_policy, повтор, фиксация ограничения источника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5xx источника</w:t>
            </w:r>
          </w:p>
        </w:tc>
        <w:tc>
          <w:tcPr>
            <w:tcW w:type="dxa" w:w="763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повтор по retry_policy, затем failed или partially_succeeded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timeout</w:t>
            </w:r>
          </w:p>
        </w:tc>
        <w:tc>
          <w:tcPr>
            <w:tcW w:type="dxa" w:w="763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повтор с увеличенной паузой, сохранение попытки в job_events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обрыв соединения</w:t>
            </w:r>
          </w:p>
        </w:tc>
        <w:tc>
          <w:tcPr>
            <w:tcW w:type="dxa" w:w="763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повтор части диапазона, не всей задачи, если возможно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неполный диапазон</w:t>
            </w:r>
          </w:p>
        </w:tc>
        <w:tc>
          <w:tcPr>
            <w:tcW w:type="dxa" w:w="763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статус partially_succeeded, создание data_quality issue source_gap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некорректный формат</w:t>
            </w:r>
          </w:p>
        </w:tc>
        <w:tc>
          <w:tcPr>
            <w:tcW w:type="dxa" w:w="763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SOURCE_INVALID_RESPONSE, raw object сохраняется для разбора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ошибка нормализации</w:t>
            </w:r>
          </w:p>
        </w:tc>
        <w:tc>
          <w:tcPr>
            <w:tcW w:type="dxa" w:w="763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NORMALIZATION_FAILED, строка/фрагмент попадает в журнал ошибок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фатальная ошибка конфигурации</w:t>
            </w:r>
          </w:p>
        </w:tc>
        <w:tc>
          <w:tcPr>
            <w:tcW w:type="dxa" w:w="763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без повторов, статус failed</w:t>
            </w:r>
          </w:p>
        </w:tc>
      </w:tr>
    </w:tbl>
    <w:p>
      <w:pPr>
        <w:pStyle w:val="SmallNote"/>
      </w:pPr>
    </w:p>
    <w:p>
      <w:r>
        <w:t>Число повторов, паузы, jitter, список фатальных кодов и лимиты параллельности задаются в source_retry_policy и не хардкодятся в ТЗ.</w:t>
      </w:r>
    </w:p>
    <w:p>
      <w:pPr>
        <w:pStyle w:val="Heading2"/>
      </w:pPr>
      <w:r>
        <w:t>13.2. Конфликты источников</w:t>
      </w:r>
    </w:p>
    <w:p>
      <w:r>
        <w:t>Если разные источники дали разные значения для одной свечи или одного события, система не должна молча перетирать данные.</w:t>
      </w:r>
    </w:p>
    <w:p>
      <w:pPr>
        <w:ind w:left="317" w:hanging="245"/>
      </w:pPr>
      <w:r>
        <w:rPr>
          <w:b/>
        </w:rPr>
        <w:t xml:space="preserve">1. </w:t>
      </w:r>
      <w:r>
        <w:t>Сохраняются все варианты с source_id и raw_object_id.</w:t>
      </w:r>
    </w:p>
    <w:p>
      <w:pPr>
        <w:ind w:left="317" w:hanging="245"/>
      </w:pPr>
      <w:r>
        <w:rPr>
          <w:b/>
        </w:rPr>
        <w:t xml:space="preserve">2. </w:t>
      </w:r>
      <w:r>
        <w:t>В data_sources/data_need_sources хранится приоритет источника для конкретной потребности.</w:t>
      </w:r>
    </w:p>
    <w:p>
      <w:pPr>
        <w:ind w:left="317" w:hanging="245"/>
      </w:pPr>
      <w:r>
        <w:rPr>
          <w:b/>
        </w:rPr>
        <w:t xml:space="preserve">3. </w:t>
      </w:r>
      <w:r>
        <w:t>Каноническая выборка строится через view или materialized view с учётом source_priority, source_revision и inserted_at.</w:t>
      </w:r>
    </w:p>
    <w:p>
      <w:pPr>
        <w:ind w:left="317" w:hanging="245"/>
      </w:pPr>
      <w:r>
        <w:rPr>
          <w:b/>
        </w:rPr>
        <w:t xml:space="preserve">4. </w:t>
      </w:r>
      <w:r>
        <w:t>Конфликт фиксируется как data_quality issue с типом source_conflict.</w:t>
      </w:r>
    </w:p>
    <w:p>
      <w:pPr>
        <w:ind w:left="317" w:hanging="245"/>
      </w:pPr>
      <w:r>
        <w:rPr>
          <w:b/>
        </w:rPr>
        <w:t xml:space="preserve">5. </w:t>
      </w:r>
      <w:r>
        <w:t>Пользователь должен видеть, какой источник выбран как канонический и какие альтернативы были отклонены.</w:t>
      </w:r>
    </w:p>
    <w:p>
      <w:pPr>
        <w:pStyle w:val="Heading1"/>
      </w:pPr>
      <w:r>
        <w:t>14. Качество данных</w:t>
      </w:r>
    </w:p>
    <w:p>
      <w:pPr/>
      <w:r>
        <w:t>Качество данных — обязательный контракт витрины. ТЗ фиксирует перечень типов проверок и структуру результата. Конкретные пороги, окна и серьёзность задаются через data_quality_profiles и могут меняться без правки ТЗ.</w:t>
      </w:r>
    </w:p>
    <w:p>
      <w:pPr/>
      <w:r>
        <w:t>Обязательные коды проверок первой очереди:</w:t>
      </w:r>
    </w:p>
    <w:p>
      <w:pPr/>
      <w:r>
        <w:t>• missing_candles — пропуски свечей внутри ожидаемой торговой сессии.</w:t>
      </w:r>
    </w:p>
    <w:p>
      <w:pPr/>
      <w:r>
        <w:t>• duplicate_candles — дубли по инструменту, источнику, интервалу и времени.</w:t>
      </w:r>
    </w:p>
    <w:p>
      <w:pPr/>
      <w:r>
        <w:t>• bad_ohlc — high &lt; low, open/close вне диапазона high/low.</w:t>
      </w:r>
    </w:p>
    <w:p>
      <w:pPr/>
      <w:r>
        <w:t>• zero_or_negative_price — нулевые или отрицательные цены.</w:t>
      </w:r>
    </w:p>
    <w:p>
      <w:pPr/>
      <w:r>
        <w:t>• zero_volume — нулевой объём, если для инструмента и сессии это подозрительно.</w:t>
      </w:r>
    </w:p>
    <w:p>
      <w:pPr/>
      <w:r>
        <w:t>• session_violation — свеча вне ожидаемой торговой сессии или календаря.</w:t>
      </w:r>
    </w:p>
    <w:p>
      <w:pPr/>
      <w:r>
        <w:t>• price_jump — резкое движение цены относительно профиля проверки.</w:t>
      </w:r>
    </w:p>
    <w:p>
      <w:pPr/>
      <w:r>
        <w:t>• volume_jump — резкий всплеск объёма относительно профиля проверки.</w:t>
      </w:r>
    </w:p>
    <w:p>
      <w:pPr/>
      <w:r>
        <w:t>• source_gap — источник вернул неполный диапазон или прервал историю.</w:t>
      </w:r>
    </w:p>
    <w:p>
      <w:pPr/>
      <w:r>
        <w:t>• source_conflict — разные источники дали разные значения для одной канонической точки.</w:t>
      </w:r>
    </w:p>
    <w:p>
      <w:pPr/>
      <w:r>
        <w:t>• incomplete_derived_candle — производная свеча построена из неполного набора минутных свечей.</w:t>
      </w:r>
    </w:p>
    <w:p>
      <w:pPr/>
      <w:r>
        <w:t>• raw_hash_mismatch — исходный объект не совпал с сохранённым хэшем.</w:t>
      </w:r>
    </w:p>
    <w:p>
      <w:pPr/>
      <w:r>
        <w:t>Минимальный результат проверки качества содержит: quality_run_id, instrument_id, data_need_code, timeframe, period_from, period_till, check_code, status, severity, affected_rows, profile_id, calculation_version_id и ссылки на исходные объекты.</w:t>
      </w:r>
    </w:p>
    <w:p>
      <w:pPr/>
      <w:r>
        <w:t>Правило блокировки: расчёт признаков и меток не запускается по периоду с critical-проблемами качества, если пользователь явно не включил исследовательский режим use_dirty_data.</w:t>
      </w:r>
    </w:p>
    <w:p>
      <w:pPr>
        <w:pStyle w:val="Heading1"/>
      </w:pPr>
      <w:r>
        <w:t>15. API первой очереди</w:t>
      </w:r>
    </w:p>
    <w:p>
      <w:r>
        <w:t>API версионируется через /api/v1. Долгие операции возвращают job_id. Все ответы содержат correlation_id.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320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Endpoint</w:t>
            </w:r>
          </w:p>
        </w:tc>
        <w:tc>
          <w:tcPr>
            <w:tcW w:type="dxa" w:w="6192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Назначение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GET /api/v1/instruments</w:t>
            </w:r>
          </w:p>
        </w:tc>
        <w:tc>
          <w:tcPr>
            <w:tcW w:type="dxa" w:w="61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список инструментов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GET /api/v1/data-needs</w:t>
            </w:r>
          </w:p>
        </w:tc>
        <w:tc>
          <w:tcPr>
            <w:tcW w:type="dxa" w:w="61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реестр потребностей в данных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POST /api/v1/source-checks</w:t>
            </w:r>
          </w:p>
        </w:tc>
        <w:tc>
          <w:tcPr>
            <w:tcW w:type="dxa" w:w="61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создать задачу проверки источника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POST /api/v1/market-data/load</w:t>
            </w:r>
          </w:p>
        </w:tc>
        <w:tc>
          <w:tcPr>
            <w:tcW w:type="dxa" w:w="61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создать задачу загрузки данных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POST /api/v1/candles/derive</w:t>
            </w:r>
          </w:p>
        </w:tc>
        <w:tc>
          <w:tcPr>
            <w:tcW w:type="dxa" w:w="61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построить производные свечи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GET /api/v1/candles</w:t>
            </w:r>
          </w:p>
        </w:tc>
        <w:tc>
          <w:tcPr>
            <w:tcW w:type="dxa" w:w="61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получить свечи или производные свечи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GET /api/v1/data-coverage</w:t>
            </w:r>
          </w:p>
        </w:tc>
        <w:tc>
          <w:tcPr>
            <w:tcW w:type="dxa" w:w="61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покрытие данных по инструменту/периоду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GET /api/v1/raw-objects</w:t>
            </w:r>
          </w:p>
        </w:tc>
        <w:tc>
          <w:tcPr>
            <w:tcW w:type="dxa" w:w="61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список исходных объектов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GET /api/v1/raw-objects/{id}</w:t>
            </w:r>
          </w:p>
        </w:tc>
        <w:tc>
          <w:tcPr>
            <w:tcW w:type="dxa" w:w="61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карточка исходного объекта, путь, хэш, параметры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POST /api/v1/features/calculate</w:t>
            </w:r>
          </w:p>
        </w:tc>
        <w:tc>
          <w:tcPr>
            <w:tcW w:type="dxa" w:w="61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создать задачу расчёта признаков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POST /api/v1/labels/calculate</w:t>
            </w:r>
          </w:p>
        </w:tc>
        <w:tc>
          <w:tcPr>
            <w:tcW w:type="dxa" w:w="61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создать задачу расчёта меток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GET /api/v1/analytics/movement-summary</w:t>
            </w:r>
          </w:p>
        </w:tc>
        <w:tc>
          <w:tcPr>
            <w:tcW w:type="dxa" w:w="61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аналитическая сводка движений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POST /api/v1/datasets/export</w:t>
            </w:r>
          </w:p>
        </w:tc>
        <w:tc>
          <w:tcPr>
            <w:tcW w:type="dxa" w:w="61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создать задачу экспорта датасета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GET /api/v1/datasets/exports/{id}</w:t>
            </w:r>
          </w:p>
        </w:tc>
        <w:tc>
          <w:tcPr>
            <w:tcW w:type="dxa" w:w="61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статус и результат экспорта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GET /api/v1/jobs/{id}</w:t>
            </w:r>
          </w:p>
        </w:tc>
        <w:tc>
          <w:tcPr>
            <w:tcW w:type="dxa" w:w="61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статус задачи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GET /health/live / GET /health/ready</w:t>
            </w:r>
          </w:p>
        </w:tc>
        <w:tc>
          <w:tcPr>
            <w:tcW w:type="dxa" w:w="61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проверки состояния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GET /api/v1/jobs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список задач с фильтрами по статусу, типу, инструменту, источнику и периоду</w:t>
            </w:r>
          </w:p>
        </w:tc>
      </w:tr>
    </w:tbl>
    <w:p>
      <w:pPr>
        <w:pStyle w:val="SmallNote"/>
      </w:pPr>
    </w:p>
    <w:p>
      <w:pPr>
        <w:pStyle w:val="Heading1"/>
      </w:pPr>
      <w:r>
        <w:t>16. Фоновые задачи и Redis Streams</w:t>
      </w:r>
    </w:p>
    <w:p>
      <w:r>
        <w:t>PostgreSQL является источником истины по заданиям. Redis Streams используется как оперативная очередь обработки.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880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Элемент</w:t>
            </w:r>
          </w:p>
        </w:tc>
        <w:tc>
          <w:tcPr>
            <w:tcW w:type="dxa" w:w="2160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Где</w:t>
            </w:r>
          </w:p>
        </w:tc>
        <w:tc>
          <w:tcPr>
            <w:tcW w:type="dxa" w:w="5472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Назначение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jobs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PostgreSQL</w:t>
            </w:r>
          </w:p>
        </w:tc>
        <w:tc>
          <w:tcPr>
            <w:tcW w:type="dxa" w:w="54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источник истины по статусу и параметрам задания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job_events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PostgreSQL</w:t>
            </w:r>
          </w:p>
        </w:tc>
        <w:tc>
          <w:tcPr>
            <w:tcW w:type="dxa" w:w="54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история событий задания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Redis Streams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Redis</w:t>
            </w:r>
          </w:p>
        </w:tc>
        <w:tc>
          <w:tcPr>
            <w:tcW w:type="dxa" w:w="54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оперативная доставка задач worker-ам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consumer group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Redis</w:t>
            </w:r>
          </w:p>
        </w:tc>
        <w:tc>
          <w:tcPr>
            <w:tcW w:type="dxa" w:w="54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распределение задач между worker-ами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recovery scan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worker</w:t>
            </w:r>
          </w:p>
        </w:tc>
        <w:tc>
          <w:tcPr>
            <w:tcW w:type="dxa" w:w="54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восстановление задач из PostgreSQL после потери Redis</w:t>
            </w:r>
          </w:p>
        </w:tc>
      </w:tr>
    </w:tbl>
    <w:p>
      <w:pPr>
        <w:pStyle w:val="SmallNote"/>
      </w:pPr>
    </w:p>
    <w:p>
      <w:pPr>
        <w:pStyle w:val="Heading2"/>
      </w:pPr>
      <w:r>
        <w:t>16.1. Восстановление после потери Redis</w:t>
      </w:r>
    </w:p>
    <w:p>
      <w:pPr>
        <w:ind w:left="317" w:hanging="245"/>
      </w:pPr>
      <w:r>
        <w:rPr>
          <w:b/>
        </w:rPr>
        <w:t xml:space="preserve">1. </w:t>
      </w:r>
      <w:r>
        <w:t>При старте worker сканирует PostgreSQL jobs со статусами queued/running/stale.</w:t>
      </w:r>
    </w:p>
    <w:p>
      <w:pPr>
        <w:ind w:left="317" w:hanging="245"/>
      </w:pPr>
      <w:r>
        <w:rPr>
          <w:b/>
        </w:rPr>
        <w:t xml:space="preserve">2. </w:t>
      </w:r>
      <w:r>
        <w:t>Задачи running, которые не обновляли heartbeat дольше допустимого окна, переводятся в retry_pending или failed по политике задачи.</w:t>
      </w:r>
    </w:p>
    <w:p>
      <w:pPr>
        <w:ind w:left="317" w:hanging="245"/>
      </w:pPr>
      <w:r>
        <w:rPr>
          <w:b/>
        </w:rPr>
        <w:t xml:space="preserve">3. </w:t>
      </w:r>
      <w:r>
        <w:t>Очередь Redis Streams восстанавливается из PostgreSQL для задач, которые можно повторить.</w:t>
      </w:r>
    </w:p>
    <w:p>
      <w:pPr>
        <w:ind w:left="317" w:hanging="245"/>
      </w:pPr>
      <w:r>
        <w:rPr>
          <w:b/>
        </w:rPr>
        <w:t xml:space="preserve">4. </w:t>
      </w:r>
      <w:r>
        <w:t>Идемпотентность загрузки и расчёта обязательна, чтобы повтор не создавал дубли.</w:t>
      </w:r>
    </w:p>
    <w:p>
      <w:pPr>
        <w:pStyle w:val="Heading1"/>
      </w:pPr>
      <w:r>
        <w:t>17. Контракты с ТЗ_002, ТЗ_003 и ТЗ_005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880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Документ</w:t>
            </w:r>
          </w:p>
        </w:tc>
        <w:tc>
          <w:tcPr>
            <w:tcW w:type="dxa" w:w="5328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Что получает от ТЗ_001</w:t>
            </w:r>
          </w:p>
        </w:tc>
        <w:tc>
          <w:tcPr>
            <w:tcW w:type="dxa" w:w="2592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Ограничение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ТЗ_002 Аналитика и исследования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получает свечи, производные свечи, признаки, метки, качество данных и агрегаты через API/экспорт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не меняет исходные рыночные данные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ТЗ_003 Внутренние модели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получает датасеты с признаками, метками, версиями расчёта и происхождением данных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не пишет напрямую в базовые таблицы витрины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ТЗ_005 Торговля и риски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получает проверенные данные, признаки, спред/ликвидность при наличии, комиссии и проскальзывание как модели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не обходит витрину и не меняет исторические данные</w:t>
            </w:r>
          </w:p>
        </w:tc>
      </w:tr>
    </w:tbl>
    <w:p>
      <w:pPr>
        <w:pStyle w:val="SmallNote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B"/>
            <w:tcBorders>
              <w:top w:val="single" w:sz="6" w:color="5B9BD5"/>
              <w:left w:val="single" w:sz="6" w:color="5B9BD5"/>
              <w:bottom w:val="single" w:sz="6" w:color="5B9BD5"/>
              <w:right w:val="single" w:sz="6" w:color="5B9BD5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1F4E79"/>
                <w:sz w:val="19"/>
              </w:rPr>
              <w:t>Граница ответственности</w:t>
            </w:r>
          </w:p>
          <w:p>
            <w:pPr>
              <w:spacing w:after="60"/>
            </w:pPr>
            <w:r>
              <w:rPr>
                <w:rFonts w:ascii="Arial" w:hAnsi="Arial" w:eastAsia="Arial"/>
                <w:sz w:val="17"/>
              </w:rPr>
              <w:t>ТЗ_001 отвечает за данные и их происхождение. Аналитика, модели и торговый контур используют данные через стабильные контракты, но не владеют базовым хранением.</w:t>
            </w:r>
          </w:p>
        </w:tc>
      </w:tr>
    </w:tbl>
    <w:p>
      <w:pPr>
        <w:pStyle w:val="SmallNote"/>
      </w:pPr>
    </w:p>
    <w:p>
      <w:pPr>
        <w:pStyle w:val="Heading1"/>
      </w:pPr>
      <w:r>
        <w:t>18. Пользовательский интерфейс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024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Экран</w:t>
            </w:r>
          </w:p>
        </w:tc>
        <w:tc>
          <w:tcPr>
            <w:tcW w:type="dxa" w:w="7488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Что делает пользователь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Главная панель</w:t>
            </w:r>
          </w:p>
        </w:tc>
        <w:tc>
          <w:tcPr>
            <w:tcW w:type="dxa" w:w="74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показывает готовность данных, последние загрузки, ошибки и ключевые статусы сервисов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Инструменты</w:t>
            </w:r>
          </w:p>
        </w:tc>
        <w:tc>
          <w:tcPr>
            <w:tcW w:type="dxa" w:w="74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показывает SBER, SILV и будущие инструменты, их профили и статус допуска данных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Реестр данных</w:t>
            </w:r>
          </w:p>
        </w:tc>
        <w:tc>
          <w:tcPr>
            <w:tcW w:type="dxa" w:w="74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показывает data_needs, приоритеты, источники-кандидаты и статус исследования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Источники</w:t>
            </w:r>
          </w:p>
        </w:tc>
        <w:tc>
          <w:tcPr>
            <w:tcW w:type="dxa" w:w="74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показывает MOEX/БКС/файлы, проверки доступа, ограничения и результат последней проверки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Загрузка данных</w:t>
            </w:r>
          </w:p>
        </w:tc>
        <w:tc>
          <w:tcPr>
            <w:tcW w:type="dxa" w:w="74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создание задач загрузки и выбор периода, инструмента, источника и типа данных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Задания</w:t>
            </w:r>
          </w:p>
        </w:tc>
        <w:tc>
          <w:tcPr>
            <w:tcW w:type="dxa" w:w="74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список jobs, прогресс, ошибки, повторы, ссылка на raw_objects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Исходники</w:t>
            </w:r>
          </w:p>
        </w:tc>
        <w:tc>
          <w:tcPr>
            <w:tcW w:type="dxa" w:w="74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карточки raw_objects: источник, параметры, хэш, размер, путь, статус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Покрытие данных</w:t>
            </w:r>
          </w:p>
        </w:tc>
        <w:tc>
          <w:tcPr>
            <w:tcW w:type="dxa" w:w="74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визуально показывает, за какие периоды есть данные и где есть пропуски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Качество данных</w:t>
            </w:r>
          </w:p>
        </w:tc>
        <w:tc>
          <w:tcPr>
            <w:tcW w:type="dxa" w:w="74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показывает проверки, серьёзность проблем, source_conflict и неполные периоды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Производные свечи</w:t>
            </w:r>
          </w:p>
        </w:tc>
        <w:tc>
          <w:tcPr>
            <w:tcW w:type="dxa" w:w="74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создание и анализ произвольных интервалов из 1m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Признаки и метки</w:t>
            </w:r>
          </w:p>
        </w:tc>
        <w:tc>
          <w:tcPr>
            <w:tcW w:type="dxa" w:w="74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показывает версии расчёта, профили и краткие сводки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Аналитика</w:t>
            </w:r>
          </w:p>
        </w:tc>
        <w:tc>
          <w:tcPr>
            <w:tcW w:type="dxa" w:w="74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сравнение SBER/SILV, интервалов, покрытия комиссии и поведения по времени дня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Экспорты</w:t>
            </w:r>
          </w:p>
        </w:tc>
        <w:tc>
          <w:tcPr>
            <w:tcW w:type="dxa" w:w="74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создание и скачивание наборов данных для исследований и моделей</w:t>
            </w:r>
          </w:p>
        </w:tc>
      </w:tr>
    </w:tbl>
    <w:p>
      <w:pPr>
        <w:pStyle w:val="SmallNote"/>
      </w:pPr>
    </w:p>
    <w:p>
      <w:pPr>
        <w:pStyle w:val="Heading1"/>
      </w:pPr>
      <w:r>
        <w:t>19. Инфраструктура: уровни готовности и Docker Compose profiles</w:t>
      </w:r>
    </w:p>
    <w:p>
      <w:r>
        <w:t>Инфраструктура задаётся одним набором Docker Compose файлов с профилями. Это позволяет не переписывать контур при росте зрелости, но не поднимать лишние сервисы в первый день.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880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Уровень</w:t>
            </w:r>
          </w:p>
        </w:tc>
        <w:tc>
          <w:tcPr>
            <w:tcW w:type="dxa" w:w="3888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Контейнеры</w:t>
            </w:r>
          </w:p>
        </w:tc>
        <w:tc>
          <w:tcPr>
            <w:tcW w:type="dxa" w:w="4032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Назначение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Уровень 1 — работает и видно результат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edge-nginx, frontend-angular, backend-api, backend-worker, postgres, clickhouse, redis</w:t>
            </w:r>
          </w:p>
        </w:tc>
        <w:tc>
          <w:tcPr>
            <w:tcW w:type="dxa" w:w="403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загрузить свечи, рассчитать данные, увидеть аналитику; логи через docker logs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Уровень 2 — промышленно-подобное хранение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уровень 1 + minio</w:t>
            </w:r>
          </w:p>
        </w:tc>
        <w:tc>
          <w:tcPr>
            <w:tcW w:type="dxa" w:w="403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целевой уровень первой реализации; исходники, экспорты и бэкапы через S3-совместимый интерфейс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Уровень 3 — полная наблюдаемость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уровень 2 + otel-collector, prometheus, grafana, loki, promtail</w:t>
            </w:r>
          </w:p>
        </w:tc>
        <w:tc>
          <w:tcPr>
            <w:tcW w:type="dxa" w:w="403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подключается после стабилизации потока данных и появления метрик</w:t>
            </w:r>
          </w:p>
        </w:tc>
      </w:tr>
    </w:tbl>
    <w:p>
      <w:pPr>
        <w:pStyle w:val="SmallNote"/>
      </w:pPr>
    </w:p>
    <w:p>
      <w:pPr>
        <w:pStyle w:val="CodeBlock"/>
      </w:pPr>
      <w:r>
        <w:t>docker compose up</w:t>
      </w:r>
    </w:p>
    <w:p>
      <w:pPr>
        <w:pStyle w:val="CodeBlock"/>
      </w:pPr>
      <w:r>
        <w:t>docker compose --profile storage up</w:t>
      </w:r>
    </w:p>
    <w:p>
      <w:pPr>
        <w:pStyle w:val="CodeBlock"/>
      </w:pPr>
      <w:r>
        <w:t>docker compose --profile storage --profile observability up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B"/>
            <w:tcBorders>
              <w:top w:val="single" w:sz="6" w:color="5B9BD5"/>
              <w:left w:val="single" w:sz="6" w:color="5B9BD5"/>
              <w:bottom w:val="single" w:sz="6" w:color="5B9BD5"/>
              <w:right w:val="single" w:sz="6" w:color="5B9BD5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1F4E79"/>
                <w:sz w:val="19"/>
              </w:rPr>
              <w:t>Решение для первой реализации</w:t>
            </w:r>
          </w:p>
          <w:p>
            <w:pPr>
              <w:spacing w:after="60"/>
            </w:pPr>
            <w:r>
              <w:rPr>
                <w:rFonts w:ascii="Arial" w:hAnsi="Arial" w:eastAsia="Arial"/>
                <w:sz w:val="17"/>
              </w:rPr>
              <w:t>Целевой уровень ТЗ_001 — уровень 2. Уровень 3 обязательно описан и предусмотрен в compose profiles, но не блокирует первую загрузку свечей и расчёты.</w:t>
            </w:r>
          </w:p>
        </w:tc>
      </w:tr>
    </w:tbl>
    <w:p>
      <w:pPr>
        <w:pStyle w:val="SmallNote"/>
      </w:pPr>
    </w:p>
    <w:p>
      <w:pPr/>
      <w:r>
        <w:t>Уровень 3 добавляет OpenTelemetry Collector, Prometheus, Grafana, Loki и Promtail, но поля логов и базовые метрики должны быть заложены сразу.</w:t>
      </w:r>
    </w:p>
    <w:p>
      <w:pPr>
        <w:pStyle w:val="Heading1"/>
      </w:pPr>
      <w:r>
        <w:t>20. Безопасность</w:t>
      </w:r>
    </w:p>
    <w:p>
      <w:pPr/>
      <w:r>
        <w:t>Первая система не отправляет реальные заявки, но хранит финансовые данные, исходные файлы, будущие брокерские токены и результаты расчётов. Поэтому базовые правила безопасности фиксируются уже в ТЗ_001.</w:t>
      </w:r>
    </w:p>
    <w:p>
      <w:pPr/>
      <w:r>
        <w:t>• Секреты: пароли, ключи, токены и refresh-токены не хранятся в репозитории и не попадают в логи.</w:t>
      </w:r>
    </w:p>
    <w:p>
      <w:pPr/>
      <w:r>
        <w:t>• БКС и другие токены: хранятся через secret-файлы, защищённое хранилище или переменные окружения; в базе хранятся только метаданные доступа.</w:t>
      </w:r>
    </w:p>
    <w:p>
      <w:pPr/>
      <w:r>
        <w:t>• Публичность сервисов: наружу публикуется только edge-nginx; PostgreSQL, ClickHouse, Redis и MinIO не публикуются при серверном запуске.</w:t>
      </w:r>
    </w:p>
    <w:p>
      <w:pPr/>
      <w:r>
        <w:t>• Исходники: каждый raw_object имеет SHA-256, размер, content_type, источник, job_id и неизменяемый storage_uri.</w:t>
      </w:r>
    </w:p>
    <w:p>
      <w:pPr/>
      <w:r>
        <w:t>• Аудит: каждая загрузка, импорт, экспорт, изменение профиля и изменение источника фиксируются в audit_events.</w:t>
      </w:r>
    </w:p>
    <w:p>
      <w:pPr/>
      <w:r>
        <w:t>• Реальная торговля: REAL_TRADING_ENABLED=false и BROKER_TRADING_ENABLED=false являются обязательными значениями по умолчанию.</w:t>
      </w:r>
    </w:p>
    <w:p>
      <w:pPr/>
      <w:r>
        <w:t>• Экспорты: экспорт датасетов фиксирует пользователя/процесс, период, источники, версии расчёта и путь к файлу.</w:t>
      </w:r>
    </w:p>
    <w:p>
      <w:pPr/>
      <w:r>
        <w:t>• Ошибки: сообщения об ошибках не раскрывают секреты, токены, ключи и приватные параметры подключения.</w:t>
      </w:r>
    </w:p>
    <w:p>
      <w:pPr/>
      <w:r>
        <w:t>Правило: включение брокерских операций и реальной торговли не может быть сделано в рамках ТЗ_001. Это зона будущего ТЗ_005 и отдельного решения о допуске.</w:t>
      </w:r>
    </w:p>
    <w:p>
      <w:pPr>
        <w:pStyle w:val="Heading1"/>
      </w:pPr>
      <w:r>
        <w:t>21. Наблюдаемость</w:t>
      </w:r>
    </w:p>
    <w:p>
      <w:pPr/>
      <w:r>
        <w:t>Наблюдаемость нужна не только на уровне 3 с Grafana/Loki. Уже на уровне 1 каждая строка лога должна быть структурированной, чтобы её можно было искать через docker logs и grep.</w:t>
      </w:r>
    </w:p>
    <w:p>
      <w:pPr>
        <w:pStyle w:val="Heading2"/>
      </w:pPr>
      <w:r>
        <w:t>21.1. Обязательные поля структурного лога</w:t>
      </w:r>
    </w:p>
    <w:p>
      <w:pPr/>
      <w:r>
        <w:t>Обязательные поля: timestamp, level, service_name, environment, correlation_id, trace_id, job_id, instrument_code, source_code, data_need_code, operation_name, message, error_code, exception.</w:t>
      </w:r>
    </w:p>
    <w:p>
      <w:pPr>
        <w:pStyle w:val="Heading2"/>
      </w:pPr>
      <w:r>
        <w:t>21.2. Минимальные метрики</w:t>
      </w:r>
    </w:p>
    <w:p>
      <w:pPr/>
      <w:r>
        <w:t>Минимальные метрики: jobs_total_by_status, job_duration_seconds, source_request_duration_seconds, source_errors_total, raw_objects_total, raw_objects_bytes, clickhouse_rows_inserted_total, data_quality_issues_total, features_calculated_total, labels_calculated_total, exports_total.</w:t>
      </w:r>
    </w:p>
    <w:p>
      <w:pPr>
        <w:pStyle w:val="Heading2"/>
      </w:pPr>
      <w:r>
        <w:t>21.3. Трассировка основного сценария</w:t>
      </w:r>
    </w:p>
    <w:p>
      <w:pPr/>
      <w:r>
        <w:t>Минимальная трасса связывает: действие пользователя в интерфейсе → запрос API → создание job в PostgreSQL → публикацию в Redis Streams → выполнение worker → сохранение raw_object → запись в ClickHouse → отчёт качества → отображение результата в интерфейсе.</w:t>
      </w:r>
    </w:p>
    <w:p>
      <w:pPr>
        <w:pStyle w:val="Heading1"/>
      </w:pPr>
      <w:r>
        <w:t>22. Миграции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Слой</w:t>
            </w:r>
          </w:p>
        </w:tc>
        <w:tc>
          <w:tcPr>
            <w:tcW w:type="dxa" w:w="4320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Инструмент миграции</w:t>
            </w:r>
          </w:p>
        </w:tc>
        <w:tc>
          <w:tcPr>
            <w:tcW w:type="dxa" w:w="3744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Область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PostgreSQL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EF Core migrations или отдельный .NET migration runner</w:t>
            </w:r>
          </w:p>
        </w:tc>
        <w:tc>
          <w:tcPr>
            <w:tcW w:type="dxa" w:w="37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схема управления, профили, задания, аудит, источники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ClickHouse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версионированные SQL-файлы + таблица schema_migrations</w:t>
            </w:r>
          </w:p>
        </w:tc>
        <w:tc>
          <w:tcPr>
            <w:tcW w:type="dxa" w:w="37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таблицы временных рядов, признаки, метки, агрегаты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Redis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без миграций схемы; имена stream и consumer group создаются при старте worker</w:t>
            </w:r>
          </w:p>
        </w:tc>
        <w:tc>
          <w:tcPr>
            <w:tcW w:type="dxa" w:w="37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оперативная очередь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MinIO / local storage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инициализация bucket/папок при старте инфраструктуры</w:t>
            </w:r>
          </w:p>
        </w:tc>
        <w:tc>
          <w:tcPr>
            <w:tcW w:type="dxa" w:w="37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raw, exports, backups</w:t>
            </w:r>
          </w:p>
        </w:tc>
      </w:tr>
    </w:tbl>
    <w:p>
      <w:pPr>
        <w:pStyle w:val="SmallNote"/>
      </w:pPr>
    </w:p>
    <w:p>
      <w:r>
        <w:t>Миграции не применяются неявно при старте промышленного контура. Для локального режима допускается явная команда apply-migrations.</w:t>
      </w:r>
    </w:p>
    <w:p>
      <w:pPr>
        <w:pStyle w:val="Heading1"/>
      </w:pPr>
      <w:r>
        <w:t>23. Хранение, архивация и очистка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448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Класс данных</w:t>
            </w:r>
          </w:p>
        </w:tc>
        <w:tc>
          <w:tcPr>
            <w:tcW w:type="dxa" w:w="3312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Горячее хранение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Архив</w:t>
            </w:r>
          </w:p>
        </w:tc>
        <w:tc>
          <w:tcPr>
            <w:tcW w:type="dxa" w:w="2160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Очистка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Свечи 1m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горячее хранение бессрочно в рамках локального проекта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архив ClickHouse backup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не удалять без ручного решения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Производные свечи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активные версии расчёта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можно пересчитать из 1m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старые версии можно удалять после архива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Рыночные сделки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по мере покупки/доступности данных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архивировать пакетами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политика зависит от стоимости хранения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Стакан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ограниченный горячий период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обязательно архивировать сырые пакеты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агрегация/архивирование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Признаки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активные версии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экспорт/архив датасетов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старые версии по решению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Метки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активные версии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экспорт/архив датасетов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старые версии по решению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Raw objects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исходники сохраняются неизменяемо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обязательный архив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только вручную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Логи stdout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короткий локальный период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уровень 3 через Loki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ротация</w:t>
            </w:r>
          </w:p>
        </w:tc>
      </w:tr>
    </w:tbl>
    <w:p>
      <w:pPr>
        <w:pStyle w:val="SmallNote"/>
      </w:pPr>
    </w:p>
    <w:p>
      <w:pPr>
        <w:pStyle w:val="Heading1"/>
      </w:pPr>
      <w:r>
        <w:t>24. Производительность</w:t>
      </w:r>
    </w:p>
    <w:p>
      <w:r>
        <w:t>Требования задают порядок величин для локальной машины. Конкретные числа уточняются после первой реализации и зависят от диска, сети и источника данных.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6912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Операция</w:t>
            </w:r>
          </w:p>
        </w:tc>
        <w:tc>
          <w:tcPr>
            <w:tcW w:type="dxa" w:w="3600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Ожидание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Создание задачи API</w:t>
            </w:r>
          </w:p>
        </w:tc>
        <w:tc>
          <w:tcPr>
            <w:tcW w:type="dxa" w:w="36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до 1 секунды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Загрузка одного торгового дня 1m свечей</w:t>
            </w:r>
          </w:p>
        </w:tc>
        <w:tc>
          <w:tcPr>
            <w:tcW w:type="dxa" w:w="36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секунды или десятки секунд, не минуты без причины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Загрузка 2 лет 1m свечей по одному инструменту</w:t>
            </w:r>
          </w:p>
        </w:tc>
        <w:tc>
          <w:tcPr>
            <w:tcW w:type="dxa" w:w="36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минуты, не часы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Построение производных свечей 5/10/30/60 из 1m за 2 года</w:t>
            </w:r>
          </w:p>
        </w:tc>
        <w:tc>
          <w:tcPr>
            <w:tcW w:type="dxa" w:w="36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минуты, не часы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Расчёт базовых признаков за 2 года</w:t>
            </w:r>
          </w:p>
        </w:tc>
        <w:tc>
          <w:tcPr>
            <w:tcW w:type="dxa" w:w="36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минуты, не часы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Расчёт меток за 2 года</w:t>
            </w:r>
          </w:p>
        </w:tc>
        <w:tc>
          <w:tcPr>
            <w:tcW w:type="dxa" w:w="36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минуты, не часы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Открытие главной панели</w:t>
            </w:r>
          </w:p>
        </w:tc>
        <w:tc>
          <w:tcPr>
            <w:tcW w:type="dxa" w:w="36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до нескольких секунд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Получение краткой аналитической сводки</w:t>
            </w:r>
          </w:p>
        </w:tc>
        <w:tc>
          <w:tcPr>
            <w:tcW w:type="dxa" w:w="36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до нескольких секунд при наличии агрегатов</w:t>
            </w:r>
          </w:p>
        </w:tc>
      </w:tr>
    </w:tbl>
    <w:p>
      <w:pPr>
        <w:pStyle w:val="SmallNote"/>
      </w:pPr>
    </w:p>
    <w:p>
      <w:pPr>
        <w:pStyle w:val="Heading1"/>
      </w:pPr>
      <w:r>
        <w:t>25. Тестирование</w:t>
      </w:r>
    </w:p>
    <w:p>
      <w:pPr>
        <w:pStyle w:val="Heading2"/>
      </w:pPr>
      <w:r>
        <w:t>25.1. Обязательные тесты</w:t>
      </w:r>
    </w:p>
    <w:p>
      <w:pPr>
        <w:ind w:left="259" w:hanging="173"/>
      </w:pPr>
      <w:r>
        <w:rPr>
          <w:b/>
        </w:rPr>
        <w:t xml:space="preserve">• </w:t>
      </w:r>
      <w:r>
        <w:t>идемпотентная запись свечей в ClickHouse;</w:t>
      </w:r>
    </w:p>
    <w:p>
      <w:pPr>
        <w:ind w:left="259" w:hanging="173"/>
      </w:pPr>
      <w:r>
        <w:rPr>
          <w:b/>
        </w:rPr>
        <w:t xml:space="preserve">• </w:t>
      </w:r>
      <w:r>
        <w:t>повторная загрузка без изменения канонического результата;</w:t>
      </w:r>
    </w:p>
    <w:p>
      <w:pPr>
        <w:ind w:left="259" w:hanging="173"/>
      </w:pPr>
      <w:r>
        <w:rPr>
          <w:b/>
        </w:rPr>
        <w:t xml:space="preserve">• </w:t>
      </w:r>
      <w:r>
        <w:t>разделение market_all_trades и broker_own_trades;</w:t>
      </w:r>
    </w:p>
    <w:p>
      <w:pPr>
        <w:ind w:left="259" w:hanging="173"/>
      </w:pPr>
      <w:r>
        <w:rPr>
          <w:b/>
        </w:rPr>
        <w:t xml:space="preserve">• </w:t>
      </w:r>
      <w:r>
        <w:t>построение производных свечей из 1m;</w:t>
      </w:r>
    </w:p>
    <w:p>
      <w:pPr>
        <w:ind w:left="259" w:hanging="173"/>
      </w:pPr>
      <w:r>
        <w:rPr>
          <w:b/>
        </w:rPr>
        <w:t xml:space="preserve">• </w:t>
      </w:r>
      <w:r>
        <w:t>обработка неполного исходного диапазона;</w:t>
      </w:r>
    </w:p>
    <w:p>
      <w:pPr>
        <w:ind w:left="259" w:hanging="173"/>
      </w:pPr>
      <w:r>
        <w:rPr>
          <w:b/>
        </w:rPr>
        <w:t xml:space="preserve">• </w:t>
      </w:r>
      <w:r>
        <w:t>обработка таймаута, 429 и 5xx через retry_policy;</w:t>
      </w:r>
    </w:p>
    <w:p>
      <w:pPr>
        <w:ind w:left="259" w:hanging="173"/>
      </w:pPr>
      <w:r>
        <w:rPr>
          <w:b/>
        </w:rPr>
        <w:t xml:space="preserve">• </w:t>
      </w:r>
      <w:r>
        <w:t>восстановление Redis Streams из PostgreSQL jobs;</w:t>
      </w:r>
    </w:p>
    <w:p>
      <w:pPr>
        <w:ind w:left="259" w:hanging="173"/>
      </w:pPr>
      <w:r>
        <w:rPr>
          <w:b/>
        </w:rPr>
        <w:t xml:space="preserve">• </w:t>
      </w:r>
      <w:r>
        <w:t>расчёт признаков и меток через профили без захардкоженных параметров;</w:t>
      </w:r>
    </w:p>
    <w:p>
      <w:pPr>
        <w:ind w:left="259" w:hanging="173"/>
      </w:pPr>
      <w:r>
        <w:rPr>
          <w:b/>
        </w:rPr>
        <w:t xml:space="preserve">• </w:t>
      </w:r>
      <w:r>
        <w:t>экспорт датасета с версиями расчёта и raw lineage.</w:t>
      </w:r>
    </w:p>
    <w:p>
      <w:pPr/>
      <w:r>
        <w:t>Результат проверки сохраняется как performance_run: дата, машина, версия кода, объём данных, длительность шагов, ошибки, вывод о готовности.</w:t>
      </w:r>
    </w:p>
    <w:p>
      <w:pPr/>
      <w:r>
        <w:t>7. Повторить загрузку того же периода и убедиться, что канонический результат не изменился и дубли отсутствуют.</w:t>
      </w:r>
    </w:p>
    <w:p>
      <w:pPr/>
      <w:r>
        <w:t>6. Получить аналитические сводки и сверить время ответа с разделом 24.</w:t>
      </w:r>
    </w:p>
    <w:p>
      <w:pPr/>
      <w:r>
        <w:t>5. Рассчитать признаки и метки через профили.</w:t>
      </w:r>
    </w:p>
    <w:p>
      <w:pPr/>
      <w:r>
        <w:t>4. Запустить проверки качества по всем обязательным кодам.</w:t>
      </w:r>
    </w:p>
    <w:p>
      <w:pPr/>
      <w:r>
        <w:t>3. Построить производные свечи 5/10/30/60 минут.</w:t>
      </w:r>
    </w:p>
    <w:p>
      <w:pPr/>
      <w:r>
        <w:t>2. Загрузить SILV за 2 года минутными свечами.</w:t>
      </w:r>
    </w:p>
    <w:p>
      <w:pPr/>
      <w:r>
        <w:t>1. Загрузить SBER за 2 года минутными свечами.</w:t>
      </w:r>
    </w:p>
    <w:p>
      <w:pPr/>
      <w:r>
        <w:t>Сценарий проверки:</w:t>
      </w:r>
    </w:p>
    <w:p>
      <w:pPr/>
      <w:r>
        <w:t>Нагрузочная проверка подтверждает, что требования производительности из раздела 24 не являются декларацией. Она выполняется на локальной машине и фиксирует фактическое время операций.</w:t>
      </w:r>
    </w:p>
    <w:p>
      <w:pPr>
        <w:pStyle w:val="Heading2"/>
      </w:pPr>
      <w:r>
        <w:t>25.2. Нагрузочная проверка первой очереди</w:t>
      </w:r>
    </w:p>
    <w:p>
      <w:pPr>
        <w:pStyle w:val="Heading1"/>
      </w:pPr>
      <w:r>
        <w:t>26. Порядок реализации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Этап</w:t>
            </w:r>
          </w:p>
        </w:tc>
        <w:tc>
          <w:tcPr>
            <w:tcW w:type="dxa" w:w="5184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Содержание</w:t>
            </w:r>
          </w:p>
        </w:tc>
        <w:tc>
          <w:tcPr>
            <w:tcW w:type="dxa" w:w="3312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1F4E79"/>
                <w:sz w:val="16"/>
              </w:rPr>
              <w:t>Критерий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0. Каркас</w:t>
            </w:r>
          </w:p>
        </w:tc>
        <w:tc>
          <w:tcPr>
            <w:tcW w:type="dxa" w:w="51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репозиторий, compose profiles, API/worker-заглушки, PostgreSQL, ClickHouse, Redis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health endpoints работают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1. Уровень 2 хранения</w:t>
            </w:r>
          </w:p>
        </w:tc>
        <w:tc>
          <w:tcPr>
            <w:tcW w:type="dxa" w:w="51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IObjectStorage local + MinIO profile, raw_objects, buckets/folders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исходник сохраняется и проверяется по хэшу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2. Схемы</w:t>
            </w:r>
          </w:p>
        </w:tc>
        <w:tc>
          <w:tcPr>
            <w:tcW w:type="dxa" w:w="51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PostgreSQL миграции, ClickHouse таблицы, UUIDv7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таблицы созданы миграциями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3. Реестр данных</w:t>
            </w:r>
          </w:p>
        </w:tc>
        <w:tc>
          <w:tcPr>
            <w:tcW w:type="dxa" w:w="51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data_needs, source_candidates, source_access_checks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реестр виден через API/UI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4. Минутные свечи</w:t>
            </w:r>
          </w:p>
        </w:tc>
        <w:tc>
          <w:tcPr>
            <w:tcW w:type="dxa" w:w="51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первый адаптер загрузки 1m, raw storage, ClickHouse запись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период загружается без дублей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5. Производные свечи</w:t>
            </w:r>
          </w:p>
        </w:tc>
        <w:tc>
          <w:tcPr>
            <w:tcW w:type="dxa" w:w="51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произвольные интервалы из 1m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5/10/30/60 строятся из 1m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6. Качество</w:t>
            </w:r>
          </w:p>
        </w:tc>
        <w:tc>
          <w:tcPr>
            <w:tcW w:type="dxa" w:w="51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OHLC, пропуски, дубли, source_gap, source_conflict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есть отчёт качества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7. Профили расчётов</w:t>
            </w:r>
          </w:p>
        </w:tc>
        <w:tc>
          <w:tcPr>
            <w:tcW w:type="dxa" w:w="51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feature_profiles, label_profiles, commission_models, slippage_models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параметры не в коде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8. Признаки и метки</w:t>
            </w:r>
          </w:p>
        </w:tc>
        <w:tc>
          <w:tcPr>
            <w:tcW w:type="dxa" w:w="51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расчёт через профили и версии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данные пишутся в ClickHouse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9. UI</w:t>
            </w:r>
          </w:p>
        </w:tc>
        <w:tc>
          <w:tcPr>
            <w:tcW w:type="dxa" w:w="51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экраны источников, загрузок, качества, производных свечей, аналитики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основной сценарий без ручных API-запросов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10. Наблюдаемость</w:t>
            </w:r>
          </w:p>
        </w:tc>
        <w:tc>
          <w:tcPr>
            <w:tcW w:type="dxa" w:w="51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подготовить профиль observability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уровень 3 можно включить без переписывания compose</w:t>
            </w:r>
          </w:p>
        </w:tc>
      </w:tr>
    </w:tbl>
    <w:p>
      <w:pPr>
        <w:pStyle w:val="SmallNote"/>
      </w:pPr>
    </w:p>
    <w:p>
      <w:pPr>
        <w:pStyle w:val="Heading1"/>
      </w:pPr>
      <w:r>
        <w:t>27. Критерии готовности</w:t>
      </w:r>
    </w:p>
    <w:p>
      <w:pPr>
        <w:ind w:left="259" w:hanging="173"/>
      </w:pPr>
      <w:r>
        <w:rPr>
          <w:b/>
        </w:rPr>
        <w:t xml:space="preserve">• </w:t>
      </w:r>
      <w:r>
        <w:t>Целевой уровень инфраструктуры первой реализации — уровень 2: Nginx, frontend, API, worker, PostgreSQL, ClickHouse, Redis, MinIO.</w:t>
      </w:r>
    </w:p>
    <w:p>
      <w:pPr>
        <w:ind w:left="259" w:hanging="173"/>
      </w:pPr>
      <w:r>
        <w:rPr>
          <w:b/>
        </w:rPr>
        <w:t xml:space="preserve">• </w:t>
      </w:r>
      <w:r>
        <w:t>ClickHouse входит в обязательный контур.</w:t>
      </w:r>
    </w:p>
    <w:p>
      <w:pPr>
        <w:ind w:left="259" w:hanging="173"/>
      </w:pPr>
      <w:r>
        <w:rPr>
          <w:b/>
        </w:rPr>
        <w:t xml:space="preserve">• </w:t>
      </w:r>
      <w:r>
        <w:t>Все логические ID используют UUIDv7; в ClickHouse логические ID имеют тип UUID.</w:t>
      </w:r>
    </w:p>
    <w:p>
      <w:pPr>
        <w:ind w:left="259" w:hanging="173"/>
      </w:pPr>
      <w:r>
        <w:rPr>
          <w:b/>
        </w:rPr>
        <w:t xml:space="preserve">• </w:t>
      </w:r>
      <w:r>
        <w:t>Существует реестр потребностей в данных и источников-кандидатов.</w:t>
      </w:r>
    </w:p>
    <w:p>
      <w:pPr>
        <w:ind w:left="259" w:hanging="173"/>
      </w:pPr>
      <w:r>
        <w:rPr>
          <w:b/>
        </w:rPr>
        <w:t xml:space="preserve">• </w:t>
      </w:r>
      <w:r>
        <w:t>Рыночные сделки и собственные брокерские сделки разделены.</w:t>
      </w:r>
    </w:p>
    <w:p>
      <w:pPr>
        <w:ind w:left="259" w:hanging="173"/>
      </w:pPr>
      <w:r>
        <w:rPr>
          <w:b/>
        </w:rPr>
        <w:t xml:space="preserve">• </w:t>
      </w:r>
      <w:r>
        <w:t>Минутные свечи загружаются как базовый ряд.</w:t>
      </w:r>
    </w:p>
    <w:p>
      <w:pPr>
        <w:ind w:left="259" w:hanging="173"/>
      </w:pPr>
      <w:r>
        <w:rPr>
          <w:b/>
        </w:rPr>
        <w:t xml:space="preserve">• </w:t>
      </w:r>
      <w:r>
        <w:t>Производные свечи произвольной длины строятся из 1m.</w:t>
      </w:r>
    </w:p>
    <w:p>
      <w:pPr>
        <w:ind w:left="259" w:hanging="173"/>
      </w:pPr>
      <w:r>
        <w:rPr>
          <w:b/>
        </w:rPr>
        <w:t xml:space="preserve">• </w:t>
      </w:r>
      <w:r>
        <w:t>Идемпотентность ClickHouse обеспечивается логикой загрузчика, staging/batch и версиями, а не только ReplacingMergeTree.</w:t>
      </w:r>
    </w:p>
    <w:p>
      <w:pPr>
        <w:ind w:left="259" w:hanging="173"/>
      </w:pPr>
      <w:r>
        <w:rPr>
          <w:b/>
        </w:rPr>
        <w:t xml:space="preserve">• </w:t>
      </w:r>
      <w:r>
        <w:t>Формулы признаков, меток, комиссии и проскальзывания задаются профилями, а не текстом ТЗ.</w:t>
      </w:r>
    </w:p>
    <w:p>
      <w:pPr>
        <w:ind w:left="259" w:hanging="173"/>
      </w:pPr>
      <w:r>
        <w:rPr>
          <w:b/>
        </w:rPr>
        <w:t xml:space="preserve">• </w:t>
      </w:r>
      <w:r>
        <w:t>Есть стратегия обработки ошибок загрузки и восстановления задач после потери Redis.</w:t>
      </w:r>
    </w:p>
    <w:p>
      <w:pPr>
        <w:ind w:left="259" w:hanging="173"/>
      </w:pPr>
      <w:r>
        <w:rPr>
          <w:b/>
        </w:rPr>
        <w:t xml:space="preserve">• </w:t>
      </w:r>
      <w:r>
        <w:t>Есть API для raw_objects и экспортов датасетов.</w:t>
      </w:r>
    </w:p>
    <w:p>
      <w:pPr>
        <w:ind w:left="259" w:hanging="173"/>
      </w:pPr>
      <w:r>
        <w:rPr>
          <w:b/>
        </w:rPr>
        <w:t xml:space="preserve">• </w:t>
      </w:r>
      <w:r>
        <w:t>Есть контракты для аналитики, внутренних моделей и будущего торгового контура.</w:t>
      </w:r>
    </w:p>
    <w:p>
      <w:pPr>
        <w:ind w:left="259" w:hanging="173"/>
      </w:pPr>
      <w:r>
        <w:rPr>
          <w:b/>
        </w:rPr>
        <w:t xml:space="preserve">• </w:t>
      </w:r>
      <w:r>
        <w:t>Операционный раздел «сегодня/на неделе» удалён; вместо него есть фазированный план.</w:t>
      </w:r>
    </w:p>
    <w:p>
      <w:pPr>
        <w:ind w:left="259" w:hanging="173"/>
      </w:pPr>
      <w:r>
        <w:rPr>
          <w:b/>
        </w:rPr>
        <w:t xml:space="preserve">• </w:t>
      </w:r>
      <w:r>
        <w:t>Реальная торговля выключена и технически недоступна.</w:t>
      </w:r>
    </w:p>
    <w:p>
      <w:r>
        <w:br w:type="page"/>
      </w:r>
    </w:p>
    <w:p>
      <w:pPr/>
      <w:r>
        <w:t>• Полный реестр типов данных ведётся отдельно и связан с data_needs.</w:t>
      </w:r>
    </w:p>
    <w:p>
      <w:pPr/>
      <w:r>
        <w:t>• Есть нагрузочная проверка SBER/SILV за два года минутными свечами и производными интервалами.</w:t>
      </w:r>
    </w:p>
    <w:p>
      <w:pPr/>
      <w:r>
        <w:t>• Все сервисы пишут структурированные JSON-логи с correlation_id/job_id/source_code/data_need_code.</w:t>
      </w:r>
    </w:p>
    <w:p>
      <w:pPr/>
      <w:r>
        <w:t>• Есть отдельные правила безопасности для секретов, исходников, экспортов и будущих брокерских токенов.</w:t>
      </w:r>
    </w:p>
    <w:p>
      <w:pPr/>
      <w:r>
        <w:t>• Есть каталог обязательных проверок качества данных и data_quality_profiles для порогов/серьёзности.</w:t>
      </w:r>
    </w:p>
    <w:p>
      <w:pPr>
        <w:pStyle w:val="Heading1"/>
      </w:pPr>
      <w:r>
        <w:t>Приложение А. PostgreSQL: минимальная схема</w:t>
      </w:r>
    </w:p>
    <w:p>
      <w:pPr>
        <w:pStyle w:val="CodeBlock"/>
      </w:pPr>
      <w:r>
        <w:t>instruments(</w:t>
      </w:r>
    </w:p>
    <w:p>
      <w:pPr>
        <w:pStyle w:val="CodeBlock"/>
      </w:pPr>
      <w:r>
        <w:t xml:space="preserve">    id uuid primary key,</w:t>
      </w:r>
    </w:p>
    <w:p>
      <w:pPr>
        <w:pStyle w:val="CodeBlock"/>
      </w:pPr>
      <w:r>
        <w:t xml:space="preserve">    display_code text not null,</w:t>
      </w:r>
    </w:p>
    <w:p>
      <w:pPr>
        <w:pStyle w:val="CodeBlock"/>
      </w:pPr>
      <w:r>
        <w:t xml:space="preserve">    source_symbol text null,</w:t>
      </w:r>
    </w:p>
    <w:p>
      <w:pPr>
        <w:pStyle w:val="CodeBlock"/>
      </w:pPr>
      <w:r>
        <w:t xml:space="preserve">    name text,</w:t>
      </w:r>
    </w:p>
    <w:p>
      <w:pPr>
        <w:pStyle w:val="CodeBlock"/>
      </w:pPr>
      <w:r>
        <w:t xml:space="preserve">    instrument_type text,</w:t>
      </w:r>
    </w:p>
    <w:p>
      <w:pPr>
        <w:pStyle w:val="CodeBlock"/>
      </w:pPr>
      <w:r>
        <w:t xml:space="preserve">    currency text,</w:t>
      </w:r>
    </w:p>
    <w:p>
      <w:pPr>
        <w:pStyle w:val="CodeBlock"/>
      </w:pPr>
      <w:r>
        <w:t xml:space="preserve">    lot_size numeric null,</w:t>
      </w:r>
    </w:p>
    <w:p>
      <w:pPr>
        <w:pStyle w:val="CodeBlock"/>
      </w:pPr>
      <w:r>
        <w:t xml:space="preserve">    price_step numeric null,</w:t>
      </w:r>
    </w:p>
    <w:p>
      <w:pPr>
        <w:pStyle w:val="CodeBlock"/>
      </w:pPr>
      <w:r>
        <w:t xml:space="preserve">    research_status text not null,</w:t>
      </w:r>
    </w:p>
    <w:p>
      <w:pPr>
        <w:pStyle w:val="CodeBlock"/>
      </w:pPr>
      <w:r>
        <w:t xml:space="preserve">    created_at timestamptz not null</w:t>
      </w:r>
    </w:p>
    <w:p>
      <w:pPr>
        <w:pStyle w:val="CodeBlock"/>
      </w:pPr>
      <w:r>
        <w:t>)</w:t>
      </w:r>
    </w:p>
    <w:p>
      <w:pPr>
        <w:pStyle w:val="CodeBlock"/>
      </w:pPr>
      <w:r/>
    </w:p>
    <w:p>
      <w:pPr>
        <w:pStyle w:val="CodeBlock"/>
      </w:pPr>
      <w:r>
        <w:t>data_sources(</w:t>
      </w:r>
    </w:p>
    <w:p>
      <w:pPr>
        <w:pStyle w:val="CodeBlock"/>
      </w:pPr>
      <w:r>
        <w:t xml:space="preserve">    id uuid primary key,</w:t>
      </w:r>
    </w:p>
    <w:p>
      <w:pPr>
        <w:pStyle w:val="CodeBlock"/>
      </w:pPr>
      <w:r>
        <w:t xml:space="preserve">    code text not null unique,</w:t>
      </w:r>
    </w:p>
    <w:p>
      <w:pPr>
        <w:pStyle w:val="CodeBlock"/>
      </w:pPr>
      <w:r>
        <w:t xml:space="preserve">    name text not null,</w:t>
      </w:r>
    </w:p>
    <w:p>
      <w:pPr>
        <w:pStyle w:val="CodeBlock"/>
      </w:pPr>
      <w:r>
        <w:t xml:space="preserve">    source_type text not null,</w:t>
      </w:r>
    </w:p>
    <w:p>
      <w:pPr>
        <w:pStyle w:val="CodeBlock"/>
      </w:pPr>
      <w:r>
        <w:t xml:space="preserve">    base_url text null,</w:t>
      </w:r>
    </w:p>
    <w:p>
      <w:pPr>
        <w:pStyle w:val="CodeBlock"/>
      </w:pPr>
      <w:r>
        <w:t xml:space="preserve">    auth_required boolean not null,</w:t>
      </w:r>
    </w:p>
    <w:p>
      <w:pPr>
        <w:pStyle w:val="CodeBlock"/>
      </w:pPr>
      <w:r>
        <w:t xml:space="preserve">    status text not null,</w:t>
      </w:r>
    </w:p>
    <w:p>
      <w:pPr>
        <w:pStyle w:val="CodeBlock"/>
      </w:pPr>
      <w:r>
        <w:t xml:space="preserve">    created_at timestamptz not null</w:t>
      </w:r>
    </w:p>
    <w:p>
      <w:pPr>
        <w:pStyle w:val="CodeBlock"/>
      </w:pPr>
      <w:r>
        <w:t>)</w:t>
      </w:r>
    </w:p>
    <w:p>
      <w:pPr>
        <w:pStyle w:val="CodeBlock"/>
      </w:pPr>
      <w:r/>
    </w:p>
    <w:p>
      <w:pPr>
        <w:pStyle w:val="CodeBlock"/>
      </w:pPr>
      <w:r>
        <w:t>data_needs(</w:t>
      </w:r>
    </w:p>
    <w:p>
      <w:pPr>
        <w:pStyle w:val="CodeBlock"/>
      </w:pPr>
      <w:r>
        <w:t xml:space="preserve">    id uuid primary key,</w:t>
      </w:r>
    </w:p>
    <w:p>
      <w:pPr>
        <w:pStyle w:val="CodeBlock"/>
      </w:pPr>
      <w:r>
        <w:t xml:space="preserve">    code text not null unique,</w:t>
      </w:r>
    </w:p>
    <w:p>
      <w:pPr>
        <w:pStyle w:val="CodeBlock"/>
      </w:pPr>
      <w:r>
        <w:t xml:space="preserve">    name text not null,</w:t>
      </w:r>
    </w:p>
    <w:p>
      <w:pPr>
        <w:pStyle w:val="CodeBlock"/>
      </w:pPr>
      <w:r>
        <w:t xml:space="preserve">    priority text not null,</w:t>
      </w:r>
    </w:p>
    <w:p>
      <w:pPr>
        <w:pStyle w:val="CodeBlock"/>
      </w:pPr>
      <w:r>
        <w:t xml:space="preserve">    purpose text not null,</w:t>
      </w:r>
    </w:p>
    <w:p>
      <w:pPr>
        <w:pStyle w:val="CodeBlock"/>
      </w:pPr>
      <w:r>
        <w:t xml:space="preserve">    owner_component text not null,</w:t>
      </w:r>
    </w:p>
    <w:p>
      <w:pPr>
        <w:pStyle w:val="CodeBlock"/>
      </w:pPr>
      <w:r>
        <w:t xml:space="preserve">    status text not null</w:t>
      </w:r>
    </w:p>
    <w:p>
      <w:pPr>
        <w:pStyle w:val="CodeBlock"/>
      </w:pPr>
      <w:r>
        <w:t>)</w:t>
      </w:r>
    </w:p>
    <w:p>
      <w:pPr>
        <w:pStyle w:val="CodeBlock"/>
      </w:pPr>
      <w:r/>
    </w:p>
    <w:p>
      <w:pPr>
        <w:pStyle w:val="CodeBlock"/>
      </w:pPr>
      <w:r>
        <w:t>source_candidates(</w:t>
      </w:r>
    </w:p>
    <w:p>
      <w:pPr>
        <w:pStyle w:val="CodeBlock"/>
      </w:pPr>
      <w:r>
        <w:t xml:space="preserve">    id uuid primary key,</w:t>
      </w:r>
    </w:p>
    <w:p>
      <w:pPr>
        <w:pStyle w:val="CodeBlock"/>
      </w:pPr>
      <w:r>
        <w:t xml:space="preserve">    data_need_id uuid not null,</w:t>
      </w:r>
    </w:p>
    <w:p>
      <w:pPr>
        <w:pStyle w:val="CodeBlock"/>
      </w:pPr>
      <w:r>
        <w:t xml:space="preserve">    source_id uuid not null,</w:t>
      </w:r>
    </w:p>
    <w:p>
      <w:pPr>
        <w:pStyle w:val="CodeBlock"/>
      </w:pPr>
      <w:r>
        <w:t xml:space="preserve">    research_status text not null,</w:t>
      </w:r>
    </w:p>
    <w:p>
      <w:pPr>
        <w:pStyle w:val="CodeBlock"/>
      </w:pPr>
      <w:r>
        <w:t xml:space="preserve">    source_priority int null,</w:t>
      </w:r>
    </w:p>
    <w:p>
      <w:pPr>
        <w:pStyle w:val="CodeBlock"/>
      </w:pPr>
      <w:r>
        <w:t xml:space="preserve">    notes text null</w:t>
      </w:r>
    </w:p>
    <w:p>
      <w:pPr>
        <w:pStyle w:val="CodeBlock"/>
      </w:pPr>
      <w:r>
        <w:t>)</w:t>
      </w:r>
    </w:p>
    <w:p>
      <w:pPr>
        <w:pStyle w:val="CodeBlock"/>
      </w:pPr>
      <w:r/>
    </w:p>
    <w:p>
      <w:pPr>
        <w:pStyle w:val="CodeBlock"/>
      </w:pPr>
      <w:r>
        <w:t>source_access_checks(</w:t>
      </w:r>
    </w:p>
    <w:p>
      <w:pPr>
        <w:pStyle w:val="CodeBlock"/>
      </w:pPr>
      <w:r>
        <w:t xml:space="preserve">    id uuid primary key,</w:t>
      </w:r>
    </w:p>
    <w:p>
      <w:pPr>
        <w:pStyle w:val="CodeBlock"/>
      </w:pPr>
      <w:r>
        <w:t xml:space="preserve">    source_candidate_id uuid not null,</w:t>
      </w:r>
    </w:p>
    <w:p>
      <w:pPr>
        <w:pStyle w:val="CodeBlock"/>
      </w:pPr>
      <w:r>
        <w:t xml:space="preserve">    checked_at timestamptz not null,</w:t>
      </w:r>
    </w:p>
    <w:p>
      <w:pPr>
        <w:pStyle w:val="CodeBlock"/>
      </w:pPr>
      <w:r>
        <w:t xml:space="preserve">    result text not null,</w:t>
      </w:r>
    </w:p>
    <w:p>
      <w:pPr>
        <w:pStyle w:val="CodeBlock"/>
      </w:pPr>
      <w:r>
        <w:t xml:space="preserve">    technical_limits_json jsonb not null,</w:t>
      </w:r>
    </w:p>
    <w:p>
      <w:pPr>
        <w:pStyle w:val="CodeBlock"/>
      </w:pPr>
      <w:r>
        <w:t xml:space="preserve">    limitation_note text null</w:t>
      </w:r>
    </w:p>
    <w:p>
      <w:pPr>
        <w:pStyle w:val="CodeBlock"/>
      </w:pPr>
      <w:r>
        <w:t>)</w:t>
      </w:r>
    </w:p>
    <w:p>
      <w:pPr>
        <w:pStyle w:val="CodeBlock"/>
      </w:pPr>
      <w:r/>
    </w:p>
    <w:p>
      <w:pPr>
        <w:pStyle w:val="CodeBlock"/>
      </w:pPr>
      <w:r>
        <w:t>jobs(</w:t>
      </w:r>
    </w:p>
    <w:p>
      <w:pPr>
        <w:pStyle w:val="CodeBlock"/>
      </w:pPr>
      <w:r>
        <w:t xml:space="preserve">    id uuid primary key,</w:t>
      </w:r>
    </w:p>
    <w:p>
      <w:pPr>
        <w:pStyle w:val="CodeBlock"/>
      </w:pPr>
      <w:r>
        <w:t xml:space="preserve">    job_type text not null,</w:t>
      </w:r>
    </w:p>
    <w:p>
      <w:pPr>
        <w:pStyle w:val="CodeBlock"/>
      </w:pPr>
      <w:r>
        <w:t xml:space="preserve">    status text not null,</w:t>
      </w:r>
    </w:p>
    <w:p>
      <w:pPr>
        <w:pStyle w:val="CodeBlock"/>
      </w:pPr>
      <w:r>
        <w:t xml:space="preserve">    parameters_json jsonb not null,</w:t>
      </w:r>
    </w:p>
    <w:p>
      <w:pPr>
        <w:pStyle w:val="CodeBlock"/>
      </w:pPr>
      <w:r>
        <w:t xml:space="preserve">    progress_percent numeric not null,</w:t>
      </w:r>
    </w:p>
    <w:p>
      <w:pPr>
        <w:pStyle w:val="CodeBlock"/>
      </w:pPr>
      <w:r>
        <w:t xml:space="preserve">    heartbeat_at timestamptz null,</w:t>
      </w:r>
    </w:p>
    <w:p>
      <w:pPr>
        <w:pStyle w:val="CodeBlock"/>
      </w:pPr>
      <w:r>
        <w:t xml:space="preserve">    created_at timestamptz not null,</w:t>
      </w:r>
    </w:p>
    <w:p>
      <w:pPr>
        <w:pStyle w:val="CodeBlock"/>
      </w:pPr>
      <w:r>
        <w:t xml:space="preserve">    started_at timestamptz null,</w:t>
      </w:r>
    </w:p>
    <w:p>
      <w:pPr>
        <w:pStyle w:val="CodeBlock"/>
      </w:pPr>
      <w:r>
        <w:t xml:space="preserve">    finished_at timestamptz null,</w:t>
      </w:r>
    </w:p>
    <w:p>
      <w:pPr>
        <w:pStyle w:val="CodeBlock"/>
      </w:pPr>
      <w:r>
        <w:t xml:space="preserve">    error_code text null,</w:t>
      </w:r>
    </w:p>
    <w:p>
      <w:pPr>
        <w:pStyle w:val="CodeBlock"/>
      </w:pPr>
      <w:r>
        <w:t xml:space="preserve">    error_message text null</w:t>
      </w:r>
    </w:p>
    <w:p>
      <w:pPr>
        <w:pStyle w:val="CodeBlock"/>
      </w:pPr>
      <w:r>
        <w:t>)</w:t>
      </w:r>
    </w:p>
    <w:p>
      <w:pPr>
        <w:pStyle w:val="CodeBlock"/>
      </w:pPr>
      <w:r/>
    </w:p>
    <w:p>
      <w:pPr>
        <w:pStyle w:val="CodeBlock"/>
      </w:pPr>
      <w:r>
        <w:t>raw_objects(</w:t>
      </w:r>
    </w:p>
    <w:p>
      <w:pPr>
        <w:pStyle w:val="CodeBlock"/>
      </w:pPr>
      <w:r>
        <w:t xml:space="preserve">    id uuid primary key,</w:t>
      </w:r>
    </w:p>
    <w:p>
      <w:pPr>
        <w:pStyle w:val="CodeBlock"/>
      </w:pPr>
      <w:r>
        <w:t xml:space="preserve">    source_id uuid not null,</w:t>
      </w:r>
    </w:p>
    <w:p>
      <w:pPr>
        <w:pStyle w:val="CodeBlock"/>
      </w:pPr>
      <w:r>
        <w:t xml:space="preserve">    job_id uuid not null,</w:t>
      </w:r>
    </w:p>
    <w:p>
      <w:pPr>
        <w:pStyle w:val="CodeBlock"/>
      </w:pPr>
      <w:r>
        <w:t xml:space="preserve">    storage_uri text not null,</w:t>
      </w:r>
    </w:p>
    <w:p>
      <w:pPr>
        <w:pStyle w:val="CodeBlock"/>
      </w:pPr>
      <w:r>
        <w:t xml:space="preserve">    sha256 text not null,</w:t>
      </w:r>
    </w:p>
    <w:p>
      <w:pPr>
        <w:pStyle w:val="CodeBlock"/>
      </w:pPr>
      <w:r>
        <w:t xml:space="preserve">    content_type text not null,</w:t>
      </w:r>
    </w:p>
    <w:p>
      <w:pPr>
        <w:pStyle w:val="CodeBlock"/>
      </w:pPr>
      <w:r>
        <w:t xml:space="preserve">    size_bytes bigint not null,</w:t>
      </w:r>
    </w:p>
    <w:p>
      <w:pPr>
        <w:pStyle w:val="CodeBlock"/>
      </w:pPr>
      <w:r>
        <w:t xml:space="preserve">    request_json jsonb not null,</w:t>
      </w:r>
    </w:p>
    <w:p>
      <w:pPr>
        <w:pStyle w:val="CodeBlock"/>
      </w:pPr>
      <w:r>
        <w:t xml:space="preserve">    response_meta_json jsonb not null,</w:t>
      </w:r>
    </w:p>
    <w:p>
      <w:pPr>
        <w:pStyle w:val="CodeBlock"/>
      </w:pPr>
      <w:r>
        <w:t xml:space="preserve">    created_at timestamptz not null</w:t>
      </w:r>
    </w:p>
    <w:p>
      <w:pPr>
        <w:pStyle w:val="CodeBlock"/>
      </w:pPr>
      <w:r>
        <w:t>)</w:t>
      </w:r>
    </w:p>
    <w:p>
      <w:pPr>
        <w:pStyle w:val="CodeBlock"/>
      </w:pPr>
      <w:r>
        <w:t>audit_events(id uuid primary key, event_time timestamptz not null, actor text not null, action text not null, entity_type text not null, entity_id uuid null, correlation_id uuid null, details_json jsonb not null)</w:t>
      </w:r>
    </w:p>
    <w:p>
      <w:pPr>
        <w:pStyle w:val="CodeBlock"/>
      </w:pPr>
      <w:r>
        <w:t>calculation_versions(id uuid primary key, calculation_type text not null, profile_id uuid null, profile_version integer null, code_version text not null, parameters_hash text not null, created_at timestamptz not null)</w:t>
      </w:r>
    </w:p>
    <w:p>
      <w:pPr>
        <w:pStyle w:val="CodeBlock"/>
      </w:pPr>
      <w:r>
        <w:t>data_quality_runs(id uuid primary key, instrument_id uuid not null, data_need_code text not null, timeframe text null, period_from timestamptz not null, period_till timestamptz not null, status text not null, summary_json jsonb not null, profile_id uuid null, calculation_version_id uuid null, created_at timestamptz not null)</w:t>
      </w:r>
    </w:p>
    <w:p>
      <w:pPr>
        <w:pStyle w:val="CodeBlock"/>
      </w:pPr>
      <w:r>
        <w:t>slippage_models(id uuid primary key, code text not null, name text not null, model_type text not null, instrument_type text null, parameters_json jsonb not null, version integer not null, is_active boolean not null, created_at timestamptz not null)</w:t>
      </w:r>
    </w:p>
    <w:p>
      <w:pPr>
        <w:pStyle w:val="CodeBlock"/>
      </w:pPr>
      <w:r>
        <w:t>commission_models(id uuid primary key, code text not null, name text not null, model_type text not null, instrument_type text null, percent_value numeric null, fixed_per_order numeric null, fixed_per_unit numeric null, currency text null, parameters_json jsonb not null, version integer not null, is_active boolean not null, created_at timestamptz not null)</w:t>
      </w:r>
    </w:p>
    <w:p>
      <w:pPr>
        <w:pStyle w:val="CodeBlock"/>
      </w:pPr>
      <w:r>
        <w:t>label_profiles(id uuid primary key, code text not null, name text not null, input_data_needs_json jsonb not null, parameters_json jsonb not null, output_contract_json jsonb not null, version integer not null, is_active boolean not null, created_at timestamptz not null)</w:t>
      </w:r>
    </w:p>
    <w:p>
      <w:pPr>
        <w:pStyle w:val="CodeBlock"/>
      </w:pPr>
      <w:r>
        <w:t>feature_profiles(id uuid primary key, code text not null, name text not null, input_data_needs_json jsonb not null, parameters_json jsonb not null, output_contract_json jsonb not null, version integer not null, is_active boolean not null, created_at timestamptz not null)</w:t>
      </w:r>
    </w:p>
    <w:p>
      <w:pPr>
        <w:pStyle w:val="CodeBlock"/>
      </w:pPr>
      <w:r>
        <w:t>data_profiles(id uuid primary key, instrument_id uuid null, data_need_code text not null, profile_json jsonb not null, version integer not null, status text not null, created_at timestamptz not null)</w:t>
      </w:r>
    </w:p>
    <w:p>
      <w:pPr>
        <w:pStyle w:val="CodeBlock"/>
      </w:pPr>
      <w:r>
        <w:t>instrument_profiles(id uuid primary key, instrument_id uuid not null, profile_json jsonb not null, version integer not null, status text not null, created_at timestamptz not null)</w:t>
      </w:r>
    </w:p>
    <w:p>
      <w:pPr>
        <w:pStyle w:val="CodeBlock"/>
      </w:pPr>
      <w:r>
        <w:t>job_events(id uuid primary key, job_id uuid not null, event_time timestamptz not null, level text not null, event_code text null, message text not null, details_json jsonb not null)</w:t>
      </w:r>
    </w:p>
    <w:p>
      <w:pPr>
        <w:pStyle w:val="CodeBlock"/>
      </w:pPr>
      <w:r>
        <w:t>-- Дополнительные управляющие таблицы, обязательные для контрактов v1.4</w:t>
      </w:r>
    </w:p>
    <w:p>
      <w:pPr>
        <w:pStyle w:val="CodeBlock"/>
      </w:pPr>
    </w:p>
    <w:p>
      <w:pPr>
        <w:pStyle w:val="Heading1"/>
      </w:pPr>
      <w:r>
        <w:t>Приложение Б. Переменные окружения</w:t>
      </w:r>
    </w:p>
    <w:p>
      <w:pPr>
        <w:pStyle w:val="CodeBlock"/>
      </w:pPr>
      <w:r>
        <w:t>APP_ENVIRONMENT=local-prodlike</w:t>
      </w:r>
    </w:p>
    <w:p>
      <w:pPr>
        <w:pStyle w:val="CodeBlock"/>
      </w:pPr>
      <w:r>
        <w:t>APP_PUBLIC_URL=http://localhost:8080</w:t>
      </w:r>
    </w:p>
    <w:p>
      <w:pPr>
        <w:pStyle w:val="CodeBlock"/>
      </w:pPr>
      <w:r/>
    </w:p>
    <w:p>
      <w:pPr>
        <w:pStyle w:val="CodeBlock"/>
      </w:pPr>
      <w:r>
        <w:t>POSTGRES_HOST=postgres</w:t>
      </w:r>
    </w:p>
    <w:p>
      <w:pPr>
        <w:pStyle w:val="CodeBlock"/>
      </w:pPr>
      <w:r>
        <w:t>POSTGRES_PORT=5432</w:t>
      </w:r>
    </w:p>
    <w:p>
      <w:pPr>
        <w:pStyle w:val="CodeBlock"/>
      </w:pPr>
      <w:r>
        <w:t>POSTGRES_DB=ai_algo_trade</w:t>
      </w:r>
    </w:p>
    <w:p>
      <w:pPr>
        <w:pStyle w:val="CodeBlock"/>
      </w:pPr>
      <w:r>
        <w:t>POSTGRES_USER=ai_algo_app</w:t>
      </w:r>
    </w:p>
    <w:p>
      <w:pPr>
        <w:pStyle w:val="CodeBlock"/>
      </w:pPr>
      <w:r>
        <w:t>POSTGRES_PASSWORD=change_me</w:t>
      </w:r>
    </w:p>
    <w:p>
      <w:pPr>
        <w:pStyle w:val="CodeBlock"/>
      </w:pPr>
      <w:r/>
    </w:p>
    <w:p>
      <w:pPr>
        <w:pStyle w:val="CodeBlock"/>
      </w:pPr>
      <w:r>
        <w:t>CLICKHOUSE_HOST=clickhouse</w:t>
      </w:r>
    </w:p>
    <w:p>
      <w:pPr>
        <w:pStyle w:val="CodeBlock"/>
      </w:pPr>
      <w:r>
        <w:t>CLICKHOUSE_HTTP_PORT=8123</w:t>
      </w:r>
    </w:p>
    <w:p>
      <w:pPr>
        <w:pStyle w:val="CodeBlock"/>
      </w:pPr>
      <w:r>
        <w:t>CLICKHOUSE_NATIVE_PORT=9000</w:t>
      </w:r>
    </w:p>
    <w:p>
      <w:pPr>
        <w:pStyle w:val="CodeBlock"/>
      </w:pPr>
      <w:r>
        <w:t>CLICKHOUSE_DB=ai_algo_trade</w:t>
      </w:r>
    </w:p>
    <w:p>
      <w:pPr>
        <w:pStyle w:val="CodeBlock"/>
      </w:pPr>
      <w:r>
        <w:t>CLICKHOUSE_USER=ai_algo_app</w:t>
      </w:r>
    </w:p>
    <w:p>
      <w:pPr>
        <w:pStyle w:val="CodeBlock"/>
      </w:pPr>
      <w:r>
        <w:t>CLICKHOUSE_PASSWORD=change_me</w:t>
      </w:r>
    </w:p>
    <w:p>
      <w:pPr>
        <w:pStyle w:val="CodeBlock"/>
      </w:pPr>
      <w:r/>
    </w:p>
    <w:p>
      <w:pPr>
        <w:pStyle w:val="CodeBlock"/>
      </w:pPr>
      <w:r>
        <w:t>REDIS_HOST=redis</w:t>
      </w:r>
    </w:p>
    <w:p>
      <w:pPr>
        <w:pStyle w:val="CodeBlock"/>
      </w:pPr>
      <w:r>
        <w:t>REDIS_PORT=6379</w:t>
      </w:r>
    </w:p>
    <w:p>
      <w:pPr>
        <w:pStyle w:val="CodeBlock"/>
      </w:pPr>
      <w:r/>
    </w:p>
    <w:p>
      <w:pPr>
        <w:pStyle w:val="CodeBlock"/>
      </w:pPr>
      <w:r>
        <w:t>OBJECT_STORAGE_PROVIDER=local        # local | minio</w:t>
      </w:r>
    </w:p>
    <w:p>
      <w:pPr>
        <w:pStyle w:val="CodeBlock"/>
      </w:pPr>
      <w:r>
        <w:t>OBJECT_STORAGE_LOCAL_ROOT=/data/raw</w:t>
      </w:r>
    </w:p>
    <w:p>
      <w:pPr>
        <w:pStyle w:val="CodeBlock"/>
      </w:pPr>
      <w:r>
        <w:t>MINIO_ENDPOINT=http://minio:9000</w:t>
      </w:r>
    </w:p>
    <w:p>
      <w:pPr>
        <w:pStyle w:val="CodeBlock"/>
      </w:pPr>
      <w:r>
        <w:t>MINIO_ACCESS_KEY=change_me</w:t>
      </w:r>
    </w:p>
    <w:p>
      <w:pPr>
        <w:pStyle w:val="CodeBlock"/>
      </w:pPr>
      <w:r>
        <w:t>MINIO_SECRET_KEY=change_me</w:t>
      </w:r>
    </w:p>
    <w:p>
      <w:pPr>
        <w:pStyle w:val="CodeBlock"/>
      </w:pPr>
      <w:r>
        <w:t>MINIO_BUCKET_RAW=ai-algo-raw</w:t>
      </w:r>
    </w:p>
    <w:p>
      <w:pPr>
        <w:pStyle w:val="CodeBlock"/>
      </w:pPr>
      <w:r>
        <w:t>MINIO_BUCKET_EXPORTS=ai-algo-exports</w:t>
      </w:r>
    </w:p>
    <w:p>
      <w:pPr>
        <w:pStyle w:val="CodeBlock"/>
      </w:pPr>
      <w:r/>
    </w:p>
    <w:p>
      <w:pPr>
        <w:pStyle w:val="CodeBlock"/>
      </w:pPr>
      <w:r>
        <w:t>REAL_TRADING_ENABLED=false</w:t>
      </w:r>
    </w:p>
    <w:p>
      <w:pPr>
        <w:pStyle w:val="CodeBlock"/>
      </w:pPr>
      <w:r>
        <w:t>BROKER_TRADING_ENABLED=false</w:t>
      </w:r>
    </w:p>
    <w:p>
      <w:pPr>
        <w:pStyle w:val="Heading1"/>
      </w:pPr>
      <w:r>
        <w:t>Итоговая формула версии 1.4</w:t>
      </w:r>
    </w:p>
    <w:p>
      <w:r>
        <w:t>Первая система — это витрина данных с обязательным ClickHouse, управляемыми профилями расчётов, UUIDv7, производными свечами из минутного ряда, восстановимыми фоновыми задачами, контрактами качества данных, базовой безопасностью, структурными логами и поэтапной инфраструктурой.</w:t>
      </w:r>
    </w:p>
    <w:p>
      <w:r>
        <w:t>Версия 1.4 • документ для первой реализации • реальная торговля выключена.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666666"/>
        <w:sz w:val="16"/>
      </w:rPr>
      <w:t>ИИ Алго Трейд • ТЗ_001 • Витрина данных • v1.4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F8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F5F8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Subtitle">
    <w:name w:val="DocSubtitle"/>
    <w:pPr>
      <w:spacing w:after="60"/>
    </w:pPr>
    <w:rPr>
      <w:rFonts w:ascii="Arial" w:hAnsi="Arial" w:eastAsia="Arial"/>
      <w:b w:val="0"/>
      <w:i w:val="0"/>
      <w:color w:val="4A4A4A"/>
      <w:sz w:val="22"/>
    </w:rPr>
  </w:style>
  <w:style w:type="paragraph" w:customStyle="1" w:styleId="SmallNote">
    <w:name w:val="SmallNote"/>
    <w:pPr>
      <w:spacing w:after="60"/>
    </w:pPr>
    <w:rPr>
      <w:rFonts w:ascii="Arial" w:hAnsi="Arial" w:eastAsia="Arial"/>
      <w:b w:val="0"/>
      <w:i w:val="0"/>
      <w:color w:val="4A4A4A"/>
      <w:sz w:val="17"/>
    </w:rPr>
  </w:style>
  <w:style w:type="paragraph" w:customStyle="1" w:styleId="CodeBlock">
    <w:name w:val="CodeBlock"/>
    <w:pPr>
      <w:spacing w:after="100" w:before="40"/>
      <w:ind w:left="173"/>
    </w:pPr>
    <w:rPr>
      <w:rFonts w:ascii="Courier New" w:hAnsi="Courier New" w:eastAsia="Courier New"/>
      <w:b w:val="0"/>
      <w:i w:val="0"/>
      <w:color w:val="222222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