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fill="1F4E79"/>
          </w:tcPr>
          <w:p>
            <w:pPr>
              <w:jc w:val="left"/>
            </w:pPr>
            <w:r>
              <w:rPr>
                <w:rFonts w:ascii="Aptos Display" w:hAnsi="Aptos Display"/>
                <w:b/>
                <w:color w:val="FFFFFF"/>
                <w:sz w:val="42"/>
              </w:rPr>
              <w:t>Retailer Promotion Request</w:t>
            </w:r>
          </w:p>
          <w:p>
            <w:pPr>
              <w:spacing w:after="40"/>
            </w:pPr>
            <w:r>
              <w:rPr>
                <w:color w:val="EAF2F8"/>
                <w:sz w:val="20"/>
              </w:rPr>
              <w:t>Best For You Organics Company | Synthetic source packet</w:t>
            </w:r>
          </w:p>
        </w:tc>
      </w:tr>
    </w:tbl>
    <w:p/>
    <w:p>
      <w:pPr>
        <w:pStyle w:val="Heading1"/>
      </w:pPr>
      <w:r>
        <w:t>Purpose</w:t>
      </w:r>
    </w:p>
    <w:p>
      <w:r>
        <w:t>This fictional request is the starting source for the MS-4018 Word module. The Commercial Planning Manager will use Copilot to turn the notes into a focused decision brief, then validate the recommendation against the Excel sales workbook.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fill="EAF2F8"/>
            <w:vAlign w:val="center"/>
          </w:tcPr>
          <w:p>
            <w:pPr>
              <w:spacing w:after="40"/>
            </w:pPr>
            <w:r>
              <w:rPr>
                <w:b/>
                <w:color w:val="1F4E79"/>
                <w:sz w:val="19"/>
              </w:rPr>
              <w:t>From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19"/>
              </w:rPr>
              <w:t>Amin Alimov, Sales Director</w:t>
            </w:r>
          </w:p>
        </w:tc>
      </w:tr>
      <w:tr>
        <w:tc>
          <w:tcPr>
            <w:tcW w:type="dxa" w:w="5040"/>
            <w:shd w:val="clear" w:fill="EAF2F8"/>
            <w:vAlign w:val="center"/>
          </w:tcPr>
          <w:p>
            <w:pPr>
              <w:spacing w:after="40"/>
            </w:pPr>
            <w:r>
              <w:rPr>
                <w:b/>
                <w:color w:val="1F4E79"/>
                <w:sz w:val="19"/>
              </w:rPr>
              <w:t>To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19"/>
              </w:rPr>
              <w:t>Olivia Wilson, Commercial Planning Manager</w:t>
            </w:r>
          </w:p>
        </w:tc>
      </w:tr>
      <w:tr>
        <w:tc>
          <w:tcPr>
            <w:tcW w:type="dxa" w:w="5040"/>
            <w:shd w:val="clear" w:fill="EAF2F8"/>
            <w:vAlign w:val="center"/>
          </w:tcPr>
          <w:p>
            <w:pPr>
              <w:spacing w:after="40"/>
            </w:pPr>
            <w:r>
              <w:rPr>
                <w:b/>
                <w:color w:val="1F4E79"/>
                <w:sz w:val="19"/>
              </w:rPr>
              <w:t>Subject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19"/>
              </w:rPr>
              <w:t>Summer multipack promotion decision</w:t>
            </w:r>
          </w:p>
        </w:tc>
      </w:tr>
      <w:tr>
        <w:tc>
          <w:tcPr>
            <w:tcW w:type="dxa" w:w="5040"/>
            <w:shd w:val="clear" w:fill="EAF2F8"/>
            <w:vAlign w:val="center"/>
          </w:tcPr>
          <w:p>
            <w:pPr>
              <w:spacing w:after="40"/>
            </w:pPr>
            <w:r>
              <w:rPr>
                <w:b/>
                <w:color w:val="1F4E79"/>
                <w:sz w:val="19"/>
              </w:rPr>
              <w:t>Planning window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19"/>
              </w:rPr>
              <w:t>Eight synthetic weeks from 2026-05-04 through 2026-06-22</w:t>
            </w:r>
          </w:p>
        </w:tc>
      </w:tr>
      <w:tr>
        <w:tc>
          <w:tcPr>
            <w:tcW w:type="dxa" w:w="5040"/>
            <w:shd w:val="clear" w:fill="EAF2F8"/>
            <w:vAlign w:val="center"/>
          </w:tcPr>
          <w:p>
            <w:pPr>
              <w:spacing w:after="40"/>
            </w:pPr>
            <w:r>
              <w:rPr>
                <w:b/>
                <w:color w:val="1F4E79"/>
                <w:sz w:val="19"/>
              </w:rPr>
              <w:t>Audience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19"/>
              </w:rPr>
              <w:t>Commercial leadership and the retail account team</w:t>
            </w:r>
          </w:p>
        </w:tc>
      </w:tr>
    </w:tbl>
    <w:p>
      <w:pPr>
        <w:pStyle w:val="Heading1"/>
      </w:pPr>
      <w:r>
        <w:t>Retailer request</w:t>
      </w:r>
    </w:p>
    <w:p>
      <w:r>
        <w:t>A national retail partner has offered a four-week summer feature for our cola multipacks. The partner wants a recommendation by Friday on which pack size to feature, which channels to prioritize, and what guardrails should be used to protect revenue quality.</w:t>
      </w:r>
    </w:p>
    <w:p>
      <w:pPr>
        <w:pStyle w:val="Heading1"/>
      </w:pPr>
      <w:r>
        <w:t>Working notes</w:t>
      </w:r>
    </w:p>
    <w:p>
      <w:pPr>
        <w:pStyle w:val="ListBullet"/>
      </w:pPr>
      <w:r>
        <w:t>The proposal can use a 10% or 15% discount, but the team should avoid assuming that deeper discount always creates better value.</w:t>
      </w:r>
    </w:p>
    <w:p>
      <w:pPr>
        <w:pStyle w:val="ListBullet"/>
      </w:pPr>
      <w:r>
        <w:t>The commercial team wants to compare 12-pack and 24-pack performance across grocery, convenience, and club channels.</w:t>
      </w:r>
    </w:p>
    <w:p>
      <w:pPr>
        <w:pStyle w:val="ListBullet"/>
      </w:pPr>
      <w:r>
        <w:t>Regional execution may differ; identify where the promotion is most likely to work and where distribution or mix needs attention.</w:t>
      </w:r>
    </w:p>
    <w:p>
      <w:pPr>
        <w:pStyle w:val="ListBullet"/>
      </w:pPr>
      <w:r>
        <w:t>The recommendation should be concise, evidence-led, and easy for a sales leader to approve or challenge.</w:t>
      </w:r>
    </w:p>
    <w:p>
      <w:pPr>
        <w:pStyle w:val="ListBullet"/>
      </w:pPr>
      <w:r>
        <w:t>All data in the companion workbook is synthetic and intended only for learning activities.</w:t>
      </w:r>
    </w:p>
    <w:p>
      <w:pPr>
        <w:pStyle w:val="Heading1"/>
      </w:pPr>
      <w:r>
        <w:t>Questions for the decision brief</w:t>
      </w:r>
    </w:p>
    <w:p>
      <w:pPr>
        <w:pStyle w:val="ListBullet"/>
      </w:pPr>
      <w:r>
        <w:t>What should Best For You Organics Company recommend for the summer feature?</w:t>
      </w:r>
    </w:p>
    <w:p>
      <w:pPr>
        <w:pStyle w:val="ListBullet"/>
      </w:pPr>
      <w:r>
        <w:t>What evidence from the workbook supports the recommendation?</w:t>
      </w:r>
    </w:p>
    <w:p>
      <w:pPr>
        <w:pStyle w:val="ListBullet"/>
      </w:pPr>
      <w:r>
        <w:t>What assumptions, risks, or follow-up checks should leadership see?</w:t>
      </w:r>
    </w:p>
    <w:p>
      <w:pPr>
        <w:pStyle w:val="ListBullet"/>
      </w:pPr>
      <w:r>
        <w:t>What should the account team do next, and what should be measured after launch?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Arial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rial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666666"/>
        <w:sz w:val="16"/>
      </w:rPr>
      <w:t>Classification: Public | Synthetic learning data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