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324bd665b576025ee5c614d78244f6deae2e63c"/>
    <w:p>
      <w:pPr>
        <w:pStyle w:val="1"/>
      </w:pPr>
      <w:r>
        <w:t xml:space="preserve">ForbSpace Bootcamp Session #1 Visual Design Scheme</w:t>
      </w:r>
    </w:p>
    <w:bookmarkStart w:id="22" w:name="design-philosophy"/>
    <w:p>
      <w:pPr>
        <w:pStyle w:val="2"/>
      </w:pPr>
      <w:r>
        <w:t xml:space="preserve">1. Design Philosophy</w:t>
      </w:r>
    </w:p>
    <w:bookmarkStart w:id="20" w:name="overall-visual-direction"/>
    <w:p>
      <w:pPr>
        <w:pStyle w:val="3"/>
      </w:pPr>
      <w:r>
        <w:t xml:space="preserve">Overall Visual Direction</w:t>
      </w:r>
    </w:p>
    <w:p>
      <w:pPr>
        <w:pStyle w:val="FirstParagraph"/>
      </w:pPr>
      <w:r>
        <w:t xml:space="preserve">A visionary and structured design that mirrors the clarity of code and the wonder of space exploration. The aesthetic draws inspiration from the minimalist tech-optimism of brands like Nothing and the functional precision of Dieter Rams’ designs for Braun. The core concept is to visually translate the logic of programming into an inspiring cosmic journey, creating a clean, focused, and aspirational learning environment.</w:t>
      </w:r>
    </w:p>
    <w:bookmarkEnd w:id="20"/>
    <w:bookmarkStart w:id="21" w:name="content-density"/>
    <w:p>
      <w:pPr>
        <w:pStyle w:val="3"/>
      </w:pPr>
      <w:r>
        <w:t xml:space="preserve">Content Density</w:t>
      </w:r>
    </w:p>
    <w:p>
      <w:pPr>
        <w:pStyle w:val="FirstParagraph"/>
      </w:pPr>
      <w:r>
        <w:t xml:space="preserve">High-Medium Density. Each slide balances 3-5 key informational points with supportive visuals. The layout is structured and clear, with approximately 15-20% whitespace to maintain focus and readability, ideal for an educational workshop setting.</w:t>
      </w:r>
    </w:p>
    <w:bookmarkEnd w:id="21"/>
    <w:bookmarkEnd w:id="22"/>
    <w:bookmarkStart w:id="23" w:name="color-system"/>
    <w:p>
      <w:pPr>
        <w:pStyle w:val="2"/>
      </w:pPr>
      <w:r>
        <w:t xml:space="preserve">2. Color System</w:t>
      </w:r>
    </w:p>
    <w:p>
      <w:pPr>
        <w:pStyle w:val="FirstParagraph"/>
      </w:pPr>
      <w:r>
        <w:rPr>
          <w:b/>
          <w:bCs/>
        </w:rPr>
        <w:t xml:space="preserve">Primary Colors</w:t>
      </w:r>
    </w:p>
    <w:p>
      <w:pPr>
        <w:pStyle w:val="Compact"/>
        <w:numPr>
          <w:ilvl w:val="0"/>
          <w:numId w:val="1001"/>
        </w:numPr>
      </w:pPr>
      <w:r>
        <w:t xml:space="preserve">Background color: #05070A (Deep space black)</w:t>
      </w:r>
    </w:p>
    <w:p>
      <w:pPr>
        <w:pStyle w:val="Compact"/>
        <w:numPr>
          <w:ilvl w:val="0"/>
          <w:numId w:val="1001"/>
        </w:numPr>
      </w:pPr>
      <w:r>
        <w:t xml:space="preserve">Primary color: #3D5A80 (Space blue)</w:t>
      </w:r>
    </w:p>
    <w:p>
      <w:pPr>
        <w:pStyle w:val="Compact"/>
        <w:numPr>
          <w:ilvl w:val="0"/>
          <w:numId w:val="1001"/>
        </w:numPr>
      </w:pPr>
      <w:r>
        <w:t xml:space="preserve">Secondary color: #98C1D9 (Light sky blue)</w:t>
      </w:r>
    </w:p>
    <w:p>
      <w:pPr>
        <w:pStyle w:val="Compact"/>
        <w:numPr>
          <w:ilvl w:val="0"/>
          <w:numId w:val="1001"/>
        </w:numPr>
      </w:pPr>
      <w:r>
        <w:t xml:space="preserve">Accent color: #EE6C4D (Mars orange)</w:t>
      </w:r>
    </w:p>
    <w:p>
      <w:pPr>
        <w:pStyle w:val="FirstParagraph"/>
      </w:pPr>
      <w:r>
        <w:rPr>
          <w:b/>
          <w:bCs/>
        </w:rPr>
        <w:t xml:space="preserve">Text Colors</w:t>
      </w:r>
    </w:p>
    <w:p>
      <w:pPr>
        <w:pStyle w:val="Compact"/>
        <w:numPr>
          <w:ilvl w:val="0"/>
          <w:numId w:val="1002"/>
        </w:numPr>
      </w:pPr>
      <w:r>
        <w:t xml:space="preserve">Dark text (for light backgrounds): #05070A</w:t>
      </w:r>
    </w:p>
    <w:p>
      <w:pPr>
        <w:pStyle w:val="Compact"/>
        <w:numPr>
          <w:ilvl w:val="0"/>
          <w:numId w:val="1002"/>
        </w:numPr>
      </w:pPr>
      <w:r>
        <w:t xml:space="preserve">Light text (for dark backgrounds): #E0FBFC (Ice blue white)</w:t>
      </w:r>
    </w:p>
    <w:bookmarkEnd w:id="23"/>
    <w:bookmarkStart w:id="24" w:name="font-design"/>
    <w:p>
      <w:pPr>
        <w:pStyle w:val="2"/>
      </w:pPr>
      <w:r>
        <w:t xml:space="preserve">3. Font Design</w:t>
      </w:r>
    </w:p>
    <w:p>
      <w:pPr>
        <w:pStyle w:val="FirstParagraph"/>
      </w:pPr>
      <w:r>
        <w:rPr>
          <w:b/>
          <w:bCs/>
        </w:rPr>
        <w:t xml:space="preserve">Heading Fonts</w:t>
      </w:r>
    </w:p>
    <w:p>
      <w:pPr>
        <w:pStyle w:val="Compact"/>
        <w:numPr>
          <w:ilvl w:val="0"/>
          <w:numId w:val="1003"/>
        </w:numPr>
      </w:pPr>
      <w:r>
        <w:t xml:space="preserve">English fonts</w:t>
      </w:r>
    </w:p>
    <w:p>
      <w:pPr>
        <w:pStyle w:val="Compact"/>
        <w:numPr>
          <w:ilvl w:val="1"/>
          <w:numId w:val="1004"/>
        </w:numPr>
      </w:pPr>
      <w:r>
        <w:t xml:space="preserve">Chiron Hei HK (A modern geometric sans-serif with sharp, clean lines, providing a strong technological feel - used for main titles)</w:t>
      </w:r>
    </w:p>
    <w:p>
      <w:pPr>
        <w:pStyle w:val="Compact"/>
        <w:numPr>
          <w:ilvl w:val="1"/>
          <w:numId w:val="1004"/>
        </w:numPr>
      </w:pPr>
      <w:r>
        <w:t xml:space="preserve">Hedvig Letters Sans (A characterful sans-serif with a unique, slightly irregular form, adding a human touch to tech - used for subtitles)</w:t>
      </w:r>
    </w:p>
    <w:p>
      <w:pPr>
        <w:pStyle w:val="FirstParagraph"/>
      </w:pPr>
      <w:r>
        <w:rPr>
          <w:b/>
          <w:bCs/>
        </w:rPr>
        <w:t xml:space="preserve">Body Fonts</w:t>
      </w:r>
    </w:p>
    <w:p>
      <w:pPr>
        <w:pStyle w:val="Compact"/>
        <w:numPr>
          <w:ilvl w:val="0"/>
          <w:numId w:val="1005"/>
        </w:numPr>
      </w:pPr>
      <w:r>
        <w:t xml:space="preserve">English fonts</w:t>
      </w:r>
    </w:p>
    <w:p>
      <w:pPr>
        <w:pStyle w:val="Compact"/>
        <w:numPr>
          <w:ilvl w:val="1"/>
          <w:numId w:val="1006"/>
        </w:numPr>
      </w:pPr>
      <w:r>
        <w:t xml:space="preserve">Quattrocento Sans (A classic, elegant sans-serif that is highly readable and clear, perfect for instructional text - primary body font)</w:t>
      </w:r>
    </w:p>
    <w:p>
      <w:pPr>
        <w:pStyle w:val="Compact"/>
        <w:numPr>
          <w:ilvl w:val="1"/>
          <w:numId w:val="1006"/>
        </w:numPr>
      </w:pPr>
      <w:r>
        <w:t xml:space="preserve">Coda (A rounded, friendly sans-serif that creates a welcoming and approachable tone for learners - secondary body font)</w:t>
      </w:r>
    </w:p>
    <w:bookmarkEnd w:id="24"/>
    <w:bookmarkStart w:id="25" w:name="image-style"/>
    <w:p>
      <w:pPr>
        <w:pStyle w:val="2"/>
      </w:pPr>
      <w:r>
        <w:t xml:space="preserve">4. Image Style</w:t>
      </w:r>
    </w:p>
    <w:p>
      <w:pPr>
        <w:pStyle w:val="FirstParagraph"/>
      </w:pPr>
      <w:r>
        <w:t xml:space="preserve">Imagery should be minimalist and conceptual. Use high-contrast, dark-mode photography of space, featuring nebulas, stars, and planets. UI elements and icons should be thin-lined and geometric. Avoid literal or cartoonish stock photos; favor abstract and atmospheric visuals that evoke a sense of discovery and precision.</w:t>
      </w:r>
    </w:p>
    <w:bookmarkEnd w:id="25"/>
    <w:bookmarkEnd w:id="26"/>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2026-03-28T01:53:45Z</dcterms:created>
  <dcterms:modified xsi:type="dcterms:W3CDTF">2026-03-28T01:53:45Z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3fp2n9toom0gl0f2j8g-19d31f6e-0562-8218-8000-09128c2bf3d1-20260328015345","ReservedCode1":"","ContentPropagator":"001191110108MACG2KBH8F20000","PropagateID":"d3fp2n9toom0gl0f2j8g-19d31f6e-0562-8218-8000-09128c2bf3d1-20260328015345","ReservedCode2":""}</vt:lpwstr>
  </property>
</Properties>
</file>