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7558B0"/>
          <w:sz w:val="20"/>
          <w:szCs w:val="20"/>
        </w:rPr>
        <w:t xml:space="preserve">うさうさ研修工房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color w:val="4A3370"/>
          <w:sz w:val="28"/>
          <w:szCs w:val="28"/>
        </w:rPr>
        <w:t xml:space="preserve">ラベンダー研修スライド・ジェネレーター（アーティファクト版）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color w:val="382A52"/>
          <w:sz w:val="24"/>
          <w:szCs w:val="24"/>
        </w:rPr>
        <w:t xml:space="preserve">データフロー仕様書（Data Flow Specification）</w:t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382A52"/>
          <w:sz w:val="20"/>
          <w:szCs w:val="20"/>
        </w:rPr>
        <w:t xml:space="preserve">v1.0.0 PRO ／ 2026-06-13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製品名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ラベンダー研修スライド・ジェネレーター（アーティファクト版）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文書種別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データフロー仕様書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版 / 日付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v1.0.0 PRO ／ 2026-06-13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対象ソース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lavender_slide_studio_app_v1_0_0_pro_20260613.html（616行）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根拠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本体HTMLの実装から抽出した実値に準拠（記憶・推測なし）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ブランド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うさうさ研修工房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1. 目的と範囲</w:t>
      </w:r>
    </w:p>
    <w:p>
      <w:pPr>
        <w:spacing w:after="12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82A52"/>
          <w:sz w:val="21"/>
          <w:szCs w:val="21"/>
        </w:rPr>
        <w:t xml:space="preserve">入力（フォーム）から出力（画面/各書き出し）までのデータの流れ・変換・検証点・信頼境界を、実装位置に基づいて示す。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2. データ・ディクショナリ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データ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型/形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定義・備考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theme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string(必須)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研修テーマ。空なら生成しない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audience/level/tone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select の選択値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string "表示,枚数"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',' split で duration/countHint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チェック済み要素の value 配列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ramen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たとえ話の有無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prompt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buildPrompt() の生成文字列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応答 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content[].type==='text' 連結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slide[]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parseDeck() 後。各 slide は no/type/title/bullets/notes/minutes/activity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currentDeck/currentTheme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状態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最後に得た構成とテーマ（メモリ）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{t,level,msg}[]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動作・エラー記録（メモリ）</w:t>
            </w:r>
          </w:p>
        </w:tc>
      </w:tr>
    </w:tbl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3. コンテキストDFD（Level 0）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[利用者] --入力/操作--&gt; (ツール) --プロンプト--&gt; [生成AI]</w:t>
      </w:r>
    </w:p>
    <w:p>
      <w:pPr>
        <w:shd w:fill="F3EFFA" w:val="clear"/>
        <w:spacing w:after="12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[生成AI] --JSON応答--&gt; (ツール) --カード/.pptx/PDF/MD/メモ--&gt; [利用者]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4. 詳細DFD（Level 1）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#theme等(入力)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│ buildPrompt()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▼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prompt(文字列)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│ fetch POST /v1/messages（Content-Type のみ）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▼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応答(content[])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│ filter(type==="text").join → parseDeck()（フェンス除去/[..]抽出/配列検証）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▼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deck = currentDeck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├─ renderDeck() ──────────────▶ カードDOM（esc/arr）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├─ deckToMarkdown()/Memo() ───▶ .md（saveBlob）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├─ buildPrintHtml()→print() ─▶ PDF（印刷）</w:t>
      </w:r>
    </w:p>
    <w:p>
      <w:pPr>
        <w:shd w:fill="F3EFFA" w:val="clear"/>
        <w:spacing w:after="12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└─ buildPptx()(pSlideXml→makeZip)▶ .pptx（saveBlob）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5. 各変換ステップの仕様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変換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実関数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/>
                <w:bCs/>
                <w:color w:val="4A3370"/>
                <w:sz w:val="18"/>
                <w:szCs w:val="18"/>
              </w:rPr>
              <w:t xml:space="preserve">入出力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入力→プロンプト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buildPrompt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フォーム値→prompt文字列（ramen時のみラーメン行）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送信→応答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fetch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prompt→content[]（model=claude-sonnet-4-6, max_tokens=4096）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応答→デック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parseDeck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text→slide[]（非配列/空は throw）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デック→画面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renderDeck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deck→DOM（tagColor/esc/arr）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デック→MD/メモ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deckToMarkdown/Memo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deck→Markdown文字列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デック→印刷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buildPrintHtml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deck→印刷HTML→window.print()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デック→PPTX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buildPptx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82A52"/>
                <w:sz w:val="18"/>
                <w:szCs w:val="18"/>
              </w:rPr>
              <w:t xml:space="preserve">deck→OOXML→ZIP(Uint8Array)</w:t>
            </w:r>
          </w:p>
        </w:tc>
      </w:tr>
    </w:tbl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6. バリデーション・エスケープ点（事実）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必須入力チェック：generate 冒頭で theme.trim() が空なら fetch せず警告。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解析検証：parseDeck で Array.isArray かつ length&gt;0 を満たさなければ例外。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配列/型ガード：renderDeck/各書き出しで bullets を arr()、type を tagColor 内で String() 強制。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エスケープ：画面は esc()、印刷HTMLも esc()、OOXMLは pEsc() を、値の差し込み前に必ず適用。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7. 状態と永続化</w:t>
      </w:r>
    </w:p>
    <w:p>
      <w:pPr>
        <w:spacing w:after="12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382A52"/>
          <w:sz w:val="21"/>
          <w:szCs w:val="21"/>
        </w:rPr>
        <w:t xml:space="preserve">currentDeck / currentTheme / LOG はメモリのみ。localStorage/sessionStorage は不使用。APIキーは保持しない（入力欄なし）。ページ再読込で状態は消える。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8. 信頼境界とセキュリティ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信頼境界:  [外部=生成AIの応答テキスト]  ──境界──▶  [ツール内部DOM]</w:t>
      </w:r>
    </w:p>
    <w:p>
      <w:pPr>
        <w:shd w:fill="F3EFFA" w:val="clear"/>
        <w:spacing w:after="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ルール  :  外部由来データは描画/出力前に必ず esc()/pEsc()。</w:t>
      </w:r>
    </w:p>
    <w:p>
      <w:pPr>
        <w:shd w:fill="F3EFFA" w:val="clear"/>
        <w:spacing w:after="120" w:line="240"/>
        <w:ind w:left="120"/>
      </w:pPr>
      <w:r>
        <w:rPr>
          <w:rFonts w:ascii="Consolas" w:cs="Consolas" w:eastAsia="Consolas" w:hAnsi="Consolas"/>
          <w:color w:val="3A2E55"/>
          <w:sz w:val="17"/>
          <w:szCs w:val="17"/>
        </w:rPr>
        <w:t xml:space="preserve">           認証情報はクライアントに保持しない（送信ヘッダは Content-Type のみ）。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9. エラー時のデータ経路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HTTP非OK：error.message を付けて throw→renderError（親切文言）＋ err ログ＋#logDot 点灯。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ネット断：Failed to fetch/NetworkError を日本語へ変換して表示・記録。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解析失敗：parseDeck 例外→同上の経路で表示・記録。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捕捉漏れ：window error/unhandledrejection が log('err',…) に集約。</w:t>
      </w:r>
    </w:p>
    <w:p>
      <w:pPr>
        <w:pStyle w:val="Heading1"/>
        <w:spacing w:after="160" w:before="280"/>
      </w:pPr>
      <w:r>
        <w:rPr>
          <w:rFonts w:ascii="Yu Gothic" w:cs="Yu Gothic" w:eastAsia="Yu Gothic" w:hAnsi="Yu Gothic"/>
          <w:b/>
          <w:bCs/>
          <w:color w:val="4A3370"/>
          <w:sz w:val="30"/>
          <w:szCs w:val="30"/>
        </w:rPr>
        <w:t xml:space="preserve">付記（事実と所感・出典）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本書の仕様値（色・座標・サイズ・ヘッダ・関数・既定値・プロンプト）は、本体HTML v1.0.0 PRO の実装をそのまま転記した実値。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「.pptx＝OOXML(ECMA-376)のZIP」は公開標準にもとづく一般的事実。検証手順・件数は今回ビルドで確認した実績のみ記載（推測値・効果指標は不記載）。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Yu Gothic" w:cs="Yu Gothic" w:eastAsia="Yu Gothic" w:hAnsi="Yu Gothic"/>
          <w:color w:val="382A52"/>
          <w:sz w:val="21"/>
          <w:szCs w:val="21"/>
        </w:rPr>
        <w:t xml:space="preserve">本書は社内レビュー（査読）前の初稿。公開前にメイン講師・人事担当の確認を想定。関係者の個人名は不記載（必要時は役職名）。</w:t>
      </w:r>
    </w:p>
    <w:p>
      <w:pPr>
        <w:spacing w:before="160"/>
        <w:jc w:val="center"/>
      </w:pPr>
      <w:r>
        <w:rPr>
          <w:rFonts w:ascii="Yu Gothic" w:cs="Yu Gothic" w:eastAsia="Yu Gothic" w:hAnsi="Yu Gothic"/>
          <w:i/>
          <w:iCs/>
          <w:color w:val="7558B0"/>
          <w:sz w:val="20"/>
          <w:szCs w:val="20"/>
        </w:rPr>
        <w:t xml:space="preserve">面白きこともなき世を面白く 🐰🪻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A8BC0"/>
        <w:sz w:val="16"/>
        <w:szCs w:val="16"/>
      </w:rPr>
      <w:t xml:space="preserve">うさうさ研修工房 ／ 2026-06-13 ／ </w:t>
    </w:r>
    <w:r>
      <w:rPr>
        <w:rFonts w:ascii="Yu Gothic" w:cs="Yu Gothic" w:eastAsia="Yu Gothic" w:hAnsi="Yu Gothic"/>
        <w:color w:val="9A8BC0"/>
        <w:sz w:val="16"/>
        <w:szCs w:val="16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A8BC0"/>
        <w:sz w:val="15"/>
        <w:szCs w:val="15"/>
      </w:rPr>
      <w:t xml:space="preserve">データフロー仕様書｜ラベンダー研修スライド・ジェネレーター v1.0.0 PRO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382A5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4A337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Yu Gothic" w:cs="Yu Gothic" w:eastAsia="Yu Gothic" w:hAnsi="Yu Gothic"/>
      <w:b/>
      <w:bCs/>
      <w:color w:val="4A337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Yu Gothic" w:cs="Yu Gothic" w:eastAsia="Yu Gothic" w:hAnsi="Yu Gothic"/>
      <w:b/>
      <w:bCs/>
      <w:color w:val="7558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2026-06-13T08:18:37.691Z</dcterms:created>
  <dcterms:modified xsi:type="dcterms:W3CDTF">2026-06-13T08:18:37.692Z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