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Noto Sans CJK JP" w:cs="Noto Sans CJK JP" w:eastAsia="Noto Sans CJK JP" w:hAnsi="Noto Sans CJK JP"/>
          <w:b/>
          <w:bCs/>
          <w:color w:val="B8466A"/>
          <w:sz w:val="24"/>
          <w:szCs w:val="24"/>
        </w:rPr>
        <w:t xml:space="preserve">🐰🎨 うさうさ研修工房</w:t>
      </w:r>
    </w:p>
    <w:p>
      <w:p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40"/>
          <w:szCs w:val="40"/>
        </w:rPr>
        <w:t xml:space="preserve">デザイン論あんしんラボ ― 受講者ハンドアウト＆講師ノート</w:t>
      </w:r>
    </w:p>
    <w:p>
      <w:pPr>
        <w:spacing w:after="40"/>
      </w:pPr>
      <w:r>
        <w:rPr>
          <w:rFonts w:ascii="Noto Sans CJK JP" w:cs="Noto Sans CJK JP" w:eastAsia="Noto Sans CJK JP" w:hAnsi="Noto Sans CJK JP"/>
          <w:color w:val="7C6670"/>
          <w:sz w:val="22"/>
          <w:szCs w:val="22"/>
        </w:rPr>
        <w:t xml:space="preserve">査読論文で、やさしく・声で・対話で学ぶ最新デザイン論</w:t>
      </w:r>
    </w:p>
    <w:p>
      <w:pPr>
        <w:pBdr>
          <w:bottom w:val="single" w:color="B8466A" w:sz="6" w:space="6"/>
        </w:pBdr>
        <w:spacing w:after="200"/>
      </w:pPr>
      <w:r>
        <w:rPr>
          <w:rFonts w:ascii="Noto Sans CJK JP" w:cs="Noto Sans CJK JP" w:eastAsia="Noto Sans CJK JP" w:hAnsi="Noto Sans CJK JP"/>
          <w:i/>
          <w:iCs/>
          <w:color w:val="7C6670"/>
          <w:sz w:val="18"/>
          <w:szCs w:val="18"/>
        </w:rPr>
        <w:t xml:space="preserve">面白きこともなき世を面白く　／　出典は実在DOIのみ・嘘つかない原則</w:t>
      </w:r>
    </w:p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1. このハンドアウトの使い方（WHY → WHAT → HOW）</w:t>
      </w:r>
    </w:p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color w:val="B8466A"/>
          <w:sz w:val="21"/>
          <w:szCs w:val="21"/>
        </w:rPr>
        <w:t xml:space="preserve">WHY　</w:t>
      </w:r>
      <w:r>
        <w:rPr>
          <w:rFonts w:ascii="Noto Sans CJK JP" w:cs="Noto Sans CJK JP" w:eastAsia="Noto Sans CJK JP" w:hAnsi="Noto Sans CJK JP"/>
          <w:color w:val="3A2A31"/>
          <w:sz w:val="21"/>
          <w:szCs w:val="21"/>
        </w:rPr>
        <w:t xml:space="preserve">デザイン論の査読論文は難しく見えるが、中身は新人にも講師にも効く。本資料は「定義→たとえ→詳細→一言まとめ」で噛み砕く。</w:t>
      </w:r>
    </w:p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color w:val="4A6D8F"/>
          <w:sz w:val="21"/>
          <w:szCs w:val="21"/>
        </w:rPr>
        <w:t xml:space="preserve">WHAT　</w:t>
      </w:r>
      <w:r>
        <w:rPr>
          <w:rFonts w:ascii="Noto Sans CJK JP" w:cs="Noto Sans CJK JP" w:eastAsia="Noto Sans CJK JP" w:hAnsi="Noto Sans CJK JP"/>
          <w:color w:val="3A2A31"/>
          <w:sz w:val="21"/>
          <w:szCs w:val="21"/>
        </w:rPr>
        <w:t xml:space="preserve">5テーマ・12本の検証済み論文を、四段構成で要約。ペアになる対話ツール（単一HTML）で、声と対話でも学べる。</w:t>
      </w:r>
    </w:p>
    <w:p>
      <w:pPr>
        <w:spacing w:after="120"/>
      </w:pPr>
      <w:r>
        <w:rPr>
          <w:rFonts w:ascii="Noto Sans CJK JP" w:cs="Noto Sans CJK JP" w:eastAsia="Noto Sans CJK JP" w:hAnsi="Noto Sans CJK JP"/>
          <w:b/>
          <w:bCs/>
          <w:color w:val="5B8F6A"/>
          <w:sz w:val="21"/>
          <w:szCs w:val="21"/>
        </w:rPr>
        <w:t xml:space="preserve">HOW　</w:t>
      </w:r>
      <w:r>
        <w:rPr>
          <w:rFonts w:ascii="Noto Sans CJK JP" w:cs="Noto Sans CJK JP" w:eastAsia="Noto Sans CJK JP" w:hAnsi="Noto Sans CJK JP"/>
          <w:color w:val="3A2A31"/>
          <w:sz w:val="21"/>
          <w:szCs w:val="21"/>
        </w:rPr>
        <w:t xml:space="preserve">①テーマを読む → ②ツールでペルソナを選び相談 → ③末尾チェックリストで現場に落とす、の順で回す。</w:t>
      </w:r>
    </w:p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2. 5テーマの四段構成まとめ</w:t>
      </w:r>
    </w:p>
    <w:p>
      <w:pPr>
        <w:pStyle w:val="Heading2"/>
      </w:pPr>
      <w:r>
        <w:rPr>
          <w:rFonts w:ascii="Noto Sans CJK JP" w:cs="Noto Sans CJK JP" w:eastAsia="Noto Sans CJK JP" w:hAnsi="Noto Sans CJK JP"/>
        </w:rPr>
        <w:t xml:space="preserve">① 認知負荷理論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B8466A"/>
                <w:sz w:val="20"/>
                <w:szCs w:val="20"/>
              </w:rPr>
              <w:t xml:space="preserve">定義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学ぶ時に作業記憶へかかる負荷の理論。負荷は内在（素材の難しさ）・外在（見せ方の無駄）・適切（理解づくり）に分かれる。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C79A3A"/>
                <w:sz w:val="20"/>
                <w:szCs w:val="20"/>
              </w:rPr>
              <w:t xml:space="preserve">🍜 たとえ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ラーメン店の作業台。狭い台に具材を全部広げると詰まる。余計な散らかり（外在）を片づけ、必要な材料だけ置くと調理（学習）が進む。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4A6D8F"/>
                <w:sz w:val="20"/>
                <w:szCs w:val="20"/>
              </w:rPr>
              <w:t xml:space="preserve">詳細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外在負荷を減らす（分割提示・装飾削減）／内在負荷は順序とスキャフォールディングで管理／適切な負荷へ振り向けると理解が深まる／負荷は固定でなく前提知識で変わる（熟達者には冗長が逆効果）。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8F2F50"/>
                <w:sz w:val="20"/>
                <w:szCs w:val="20"/>
              </w:rPr>
              <w:t xml:space="preserve">一言まとめ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「足りない説明」より「散らかった画面」が学習を止める。まず無駄を引く。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/>
      </w:r>
    </w:p>
    <w:p>
      <w:pPr>
        <w:pStyle w:val="Heading2"/>
      </w:pPr>
      <w:r>
        <w:rPr>
          <w:rFonts w:ascii="Noto Sans CJK JP" w:cs="Noto Sans CJK JP" w:eastAsia="Noto Sans CJK JP" w:hAnsi="Noto Sans CJK JP"/>
        </w:rPr>
        <w:t xml:space="preserve">② マルチメディア学習（CTML）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B8466A"/>
                <w:sz w:val="20"/>
                <w:szCs w:val="20"/>
              </w:rPr>
              <w:t xml:space="preserve">定義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言葉と絵を組み合わせると、言葉だけより深く学べる（Mayer）。視覚・聴覚の2経路で処理し、各経路の容量には限りがある。15の実証原則がある。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C79A3A"/>
                <w:sz w:val="20"/>
                <w:szCs w:val="20"/>
              </w:rPr>
              <w:t xml:space="preserve">🍜 たとえ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口頭（音声）＋写真（視覚）で説明すると入りやすい。同じ文章を全画面に重ねて読み上げると、目と耳がケンカして逆効果（冗長性）。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4A6D8F"/>
                <w:sz w:val="20"/>
                <w:szCs w:val="20"/>
              </w:rPr>
              <w:t xml:space="preserve">詳細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多メディア原則：言葉＋絵＞言葉だけ／一貫性原則：盛るほど理解が減る／冗長性原則：同一の全文字幕は逆効果／人格化原則：会話調の方が学べる（本ツールの設計根拠）。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8F2F50"/>
                <w:sz w:val="20"/>
                <w:szCs w:val="20"/>
              </w:rPr>
              <w:t xml:space="preserve">一言まとめ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“盛る”より“選ぶ”。音声と視覚は役割分担させる。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/>
      </w:r>
    </w:p>
    <w:p>
      <w:pPr>
        <w:pStyle w:val="Heading2"/>
      </w:pPr>
      <w:r>
        <w:rPr>
          <w:rFonts w:ascii="Noto Sans CJK JP" w:cs="Noto Sans CJK JP" w:eastAsia="Noto Sans CJK JP" w:hAnsi="Noto Sans CJK JP"/>
        </w:rPr>
        <w:t xml:space="preserve">③ UX × 美しさ（美的ユーザビリティ効果）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B8466A"/>
                <w:sz w:val="20"/>
                <w:szCs w:val="20"/>
              </w:rPr>
              <w:t xml:space="preserve">定義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美しいUIは「使いやすい」と感じられやすい効果。ただし“感じる使いやすさ”と“実測の使いやすさ”は別物で、美しさが問題を覆い隠すこともある。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C79A3A"/>
                <w:sz w:val="20"/>
                <w:szCs w:val="20"/>
              </w:rPr>
              <w:t xml:space="preserve">🍜 たとえ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盛り付けの綺麗なラーメンは美味しそう＝食べやすそうに見える。実際の食べやすさは別問題で、見た目で評価が甘くなる。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4A6D8F"/>
                <w:sz w:val="20"/>
                <w:szCs w:val="20"/>
              </w:rPr>
              <w:t xml:space="preserve">詳細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美的魅力は知覚されたユーザビリティを上げる／一方でテストでは問題を隠す副作用も／視覚的な美は4側面（簡潔さ・多様性・色彩・職人技）に分解できる／“美しい→使いやすい”と“使える→美しい”は双方向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8F2F50"/>
                <w:sz w:val="20"/>
                <w:szCs w:val="20"/>
              </w:rPr>
              <w:t xml:space="preserve">一言まとめ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美しさは武器。ただしテストでは“盛れた評価”を割り引いて見る。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/>
      </w:r>
    </w:p>
    <w:p>
      <w:pPr>
        <w:pStyle w:val="Heading2"/>
      </w:pPr>
      <w:r>
        <w:rPr>
          <w:rFonts w:ascii="Noto Sans CJK JP" w:cs="Noto Sans CJK JP" w:eastAsia="Noto Sans CJK JP" w:hAnsi="Noto Sans CJK JP"/>
        </w:rPr>
        <w:t xml:space="preserve">④ アクセシビリティ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B8466A"/>
                <w:sz w:val="20"/>
                <w:szCs w:val="20"/>
              </w:rPr>
              <w:t xml:space="preserve">定義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障害の有無にかかわらず情報に届く設計。読みやすい配色・行間・フォントは特別な配慮でなく、全員に効く基本設計。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C79A3A"/>
                <w:sz w:val="20"/>
                <w:szCs w:val="20"/>
              </w:rPr>
              <w:t xml:space="preserve">🍜 たとえ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店の入口のスロープや大きな品書き。車椅子の人だけでなく、ベビーカーや高齢の客にも効く。誰か一人のための設計が、みんなを楽にする。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4A6D8F"/>
                <w:sz w:val="20"/>
                <w:szCs w:val="20"/>
              </w:rPr>
              <w:t xml:space="preserve">詳細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適切な書体・余白・行間が読解を助ける／色だけに意味を持たせない（色覚多様性）／十分なコントラストは認知負荷の低減そのもの／例外への配慮が標準品質を底上げする。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8F2F50"/>
                <w:sz w:val="20"/>
                <w:szCs w:val="20"/>
              </w:rPr>
              <w:t xml:space="preserve">一言まとめ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アクセシビリティは引き算の設計。整えるほど、全員が速く読める。</w:t>
            </w:r>
          </w:p>
        </w:tc>
      </w:tr>
    </w:tbl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/>
      </w:r>
    </w:p>
    <w:p>
      <w:pPr>
        <w:pStyle w:val="Heading2"/>
      </w:pPr>
      <w:r>
        <w:rPr>
          <w:rFonts w:ascii="Noto Sans CJK JP" w:cs="Noto Sans CJK JP" w:eastAsia="Noto Sans CJK JP" w:hAnsi="Noto Sans CJK JP"/>
        </w:rPr>
        <w:t xml:space="preserve">⑤ デザイン思考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B8466A"/>
                <w:sz w:val="20"/>
                <w:szCs w:val="20"/>
              </w:rPr>
              <w:t xml:space="preserve">定義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ユーザーを観察し、問題そのものを定義し直しながら解を作る人間中心の型。レビューでは10の属性・8の手法に整理されている。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C79A3A"/>
                <w:sz w:val="20"/>
                <w:szCs w:val="20"/>
              </w:rPr>
              <w:t xml:space="preserve">🍜 たとえ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新メニュー開発。いきなり作らず常連の食べ方を観察→「本当に欲しいのは“早さ”では？」と問いを立て直す→試作→試食→改良を回す。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4A6D8F"/>
                <w:sz w:val="20"/>
                <w:szCs w:val="20"/>
              </w:rPr>
              <w:t xml:space="preserve">詳細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観察→問題定義→発想→試作→検証を反復／“正しい問いに作り直す”を重視／教育設計（研修づくり）に橋渡しできる／現場導入では曖昧さ耐性・経営の理解でつまずきやすい。</w:t>
            </w:r>
          </w:p>
        </w:tc>
      </w:tr>
      <w:tr>
        <w:tc>
          <w:tcPr>
            <w:tcW w:type="dxa" w:w="240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8F2F50"/>
                <w:sz w:val="20"/>
                <w:szCs w:val="20"/>
              </w:rPr>
              <w:t xml:space="preserve">一言まとめ</w:t>
            </w:r>
          </w:p>
        </w:tc>
        <w:tc>
          <w:tcPr>
            <w:tcW w:type="dxa" w:w="696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20"/>
                <w:szCs w:val="20"/>
              </w:rPr>
              <w:t xml:space="preserve">作る前に問いを疑う。小さく試して、回しながら直す。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3. 誰向け × ペルソナ運用表</w:t>
      </w:r>
    </w:p>
    <w:p>
      <w:pPr>
        <w:spacing w:after="12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縦で“誰向け”を選び、横で“どのペルソナに相談するか”を切り替える。ツールのチップと一対一で対応している。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905"/>
        <w:gridCol w:w="1905"/>
        <w:gridCol w:w="1905"/>
        <w:gridCol w:w="1905"/>
      </w:tblGrid>
      <w:tr>
        <w:tc>
          <w:tcPr>
            <w:tcW w:type="dxa" w:w="174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8F2F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誰向け＼ペルソナ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B8466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🐰 うさうさ先生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4A6D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🔍 査読者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5B8F6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🛠 現場リーダー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7AA0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🌱 新人代弁者</w:t>
            </w:r>
          </w:p>
        </w:tc>
      </w:tr>
      <w:tr>
        <w:tc>
          <w:tcPr>
            <w:tcW w:type="dxa" w:w="174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3A2A31"/>
                <w:sz w:val="18"/>
                <w:szCs w:val="18"/>
              </w:rPr>
              <w:t xml:space="preserve">新人・受講生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たとえ全開で噛み砕く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根拠を一つだけ添える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明日使う一手に絞る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つまずき所を先回り</w:t>
            </w:r>
          </w:p>
        </w:tc>
      </w:tr>
      <w:tr>
        <w:tc>
          <w:tcPr>
            <w:tcW w:type="dxa" w:w="174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3A2A31"/>
                <w:sz w:val="18"/>
                <w:szCs w:val="18"/>
              </w:rPr>
              <w:t xml:space="preserve">サブ講師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板書例・FAQまで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主張の飛躍を点検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研修での落とし込み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新人質問を予習</w:t>
            </w:r>
          </w:p>
        </w:tc>
      </w:tr>
      <w:tr>
        <w:tc>
          <w:tcPr>
            <w:tcW w:type="dxa" w:w="1740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shd w:fill="FBEE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/>
                <w:bCs/>
                <w:color w:val="3A2A31"/>
                <w:sz w:val="18"/>
                <w:szCs w:val="18"/>
              </w:rPr>
              <w:t xml:space="preserve">発信・自己研鑽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note向けの語り口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引用の精度を担保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PoC事例に接続</w:t>
            </w:r>
          </w:p>
        </w:tc>
        <w:tc>
          <w:tcPr>
            <w:tcW w:type="dxa" w:w="1905"/>
            <w:tcBorders>
              <w:top w:val="single" w:color="ECCDD8" w:sz="1"/>
              <w:left w:val="single" w:color="ECCDD8" w:sz="1"/>
              <w:bottom w:val="single" w:color="ECCDD8" w:sz="1"/>
              <w:right w:val="single" w:color="ECCDD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color w:val="3A2A31"/>
                <w:sz w:val="18"/>
                <w:szCs w:val="18"/>
              </w:rPr>
              <w:t xml:space="preserve">読者の“わからない”を想像</w:t>
            </w:r>
          </w:p>
        </w:tc>
      </w:tr>
    </w:tbl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4. 明日からのチェックリスト（HOW）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21"/>
          <w:szCs w:val="21"/>
        </w:rPr>
        <w:t xml:space="preserve">画面、引けるムダはない？  </w:t>
      </w:r>
      <w:r>
        <w:rPr>
          <w:rFonts w:ascii="Noto Sans CJK JP" w:cs="Noto Sans CJK JP" w:eastAsia="Noto Sans CJK JP" w:hAnsi="Noto Sans CJK JP"/>
          <w:color w:val="7C6670"/>
          <w:sz w:val="19"/>
          <w:szCs w:val="19"/>
        </w:rPr>
        <w:t xml:space="preserve">― 認知負荷：外在負荷を削ったか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21"/>
          <w:szCs w:val="21"/>
        </w:rPr>
        <w:t xml:space="preserve">音声と文字、役割分担した？  </w:t>
      </w:r>
      <w:r>
        <w:rPr>
          <w:rFonts w:ascii="Noto Sans CJK JP" w:cs="Noto Sans CJK JP" w:eastAsia="Noto Sans CJK JP" w:hAnsi="Noto Sans CJK JP"/>
          <w:color w:val="7C6670"/>
          <w:sz w:val="19"/>
          <w:szCs w:val="19"/>
        </w:rPr>
        <w:t xml:space="preserve">― CTML：冗長な全文字幕になっていないか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21"/>
          <w:szCs w:val="21"/>
        </w:rPr>
        <w:t xml:space="preserve">会話調で書いた？  </w:t>
      </w:r>
      <w:r>
        <w:rPr>
          <w:rFonts w:ascii="Noto Sans CJK JP" w:cs="Noto Sans CJK JP" w:eastAsia="Noto Sans CJK JP" w:hAnsi="Noto Sans CJK JP"/>
          <w:color w:val="7C6670"/>
          <w:sz w:val="19"/>
          <w:szCs w:val="19"/>
        </w:rPr>
        <w:t xml:space="preserve">― 人格化原則：硬い説明を会話調に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21"/>
          <w:szCs w:val="21"/>
        </w:rPr>
        <w:t xml:space="preserve">色だけで意味を伝えてない？  </w:t>
      </w:r>
      <w:r>
        <w:rPr>
          <w:rFonts w:ascii="Noto Sans CJK JP" w:cs="Noto Sans CJK JP" w:eastAsia="Noto Sans CJK JP" w:hAnsi="Noto Sans CJK JP"/>
          <w:color w:val="7C6670"/>
          <w:sz w:val="19"/>
          <w:szCs w:val="19"/>
        </w:rPr>
        <w:t xml:space="preserve">― A11y：コントラストと代替表現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  <w:sz w:val="21"/>
          <w:szCs w:val="21"/>
        </w:rPr>
        <w:t xml:space="preserve">先に“問い”を疑った？  </w:t>
      </w:r>
      <w:r>
        <w:rPr>
          <w:rFonts w:ascii="Noto Sans CJK JP" w:cs="Noto Sans CJK JP" w:eastAsia="Noto Sans CJK JP" w:hAnsi="Noto Sans CJK JP"/>
          <w:color w:val="7C6670"/>
          <w:sz w:val="19"/>
          <w:szCs w:val="19"/>
        </w:rPr>
        <w:t xml:space="preserve">― デザイン思考：問題定義をやり直したか</w:t>
      </w:r>
    </w:p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5. 講師ノート（サブ講師向け）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導入はWHYから。「形式（チャット＋音声）が査読知見そのもの」というメタの筋を最初に通すと、受講生の納得が早い。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各テーマは“たとえ”を先に板書し、定義は後出しにすると食いつきが良い（うさうさラーメン店で統一）。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想定質問：「認知負荷を下げる＝簡単にする、では？」→ No。内在負荷（題材の難しさ）は保ち、外在負荷（見せ方の無駄）だけを削るのが要点、と切り返す。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想定質問：「美しければ良いUI？」→ 美的ユーザビリティ効果は“感じ方”を上げるが実測とは別。テストでは割り引いて見る、と注意付きで。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引用は必ずDOIで原典確認。未確認の数値・論文名は出さない（嘘つかない原則）。</w:t>
      </w:r>
    </w:p>
    <w:p>
      <w:pPr>
        <w:pStyle w:val="Heading1"/>
      </w:pPr>
      <w:r>
        <w:rPr>
          <w:rFonts w:ascii="Noto Sans CJK JP" w:cs="Noto Sans CJK JP" w:eastAsia="Noto Sans CJK JP" w:hAnsi="Noto Sans CJK JP"/>
        </w:rPr>
        <w:t xml:space="preserve">6. 出典一覧（検証済みDOI・12本）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Sweller, van Merriënboer &amp; Paas (2019). Educational Psychology Review. </w:t>
      </w:r>
      <w:hyperlink w:history="1" r:id="rIdzwojg3nblzzisfbh9gwmx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doi:10.1007/s10648-019-09465-5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Sweller (1994). Learning and Instruction. </w:t>
      </w:r>
      <w:hyperlink w:history="1" r:id="rIdmvadnze7lairqhmol0hhn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doi:10.1016/0959-4752(94)90003-5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Paas &amp; van Merriënboer (2020). Current Directions in Psychological Science. </w:t>
      </w:r>
      <w:hyperlink w:history="1" r:id="rIdhjy6pk-sgqsu673g-cdgm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doi:10.1177/0963721420922183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Mayer (2024). Educational Psychology Review. </w:t>
      </w:r>
      <w:hyperlink w:history="1" r:id="rIdptynql4pvyiyox9xnq-un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doi:10.1007/s10648-023-09842-1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Mayer, Heiser &amp; Lonn (2001). Journal of Educational Psychology. </w:t>
      </w:r>
      <w:hyperlink w:history="1" r:id="rIdziif19-ydbajuqzo_6tbm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doi:10.1037/0022-0663.93.1.187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Mayer &amp; Johnson (2008). Journal of Educational Psychology. </w:t>
      </w:r>
      <w:hyperlink w:history="1" r:id="rIdkk6kmismm-cey6xmcdhx3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doi:10.1037/0022-0663.100.2.380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Sonderegger &amp; Sauer (2010). Applied Ergonomics. </w:t>
      </w:r>
      <w:hyperlink w:history="1" r:id="rIdhw7mqar8yotljsoqjqwwp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doi:10.1016/j.apergo.2009.09.002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Moshagen &amp; Thielsch (2010). International Journal of Human-Computer Studies. </w:t>
      </w:r>
      <w:hyperlink w:history="1" r:id="rIdtsta_35j385gtgbgj98fw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doi:10.1016/j.ijhcs.2010.05.006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McCarthy &amp; Swierenga (2010). Universal Access in the Information Society. </w:t>
      </w:r>
      <w:hyperlink w:history="1" r:id="rIddrqbwhawybvvtqcy1x61h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doi:10.1007/s10209-009-0160-5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Micheli et al. (2019). Journal of Product Innovation Management. </w:t>
      </w:r>
      <w:hyperlink w:history="1" r:id="rIdocottc05mnsi6vtno00rh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doi:10.1111/jpim.12466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Baker &amp; Moukhliss (2020). Review of Education. </w:t>
      </w:r>
      <w:hyperlink w:history="1" r:id="rIdy2thvlr25xfebbxkhgysd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doi:10.1002/rev3.3186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CJK JP" w:cs="Noto Sans CJK JP" w:eastAsia="Noto Sans CJK JP" w:hAnsi="Noto Sans CJK JP"/>
          <w:color w:val="3A2A31"/>
          <w:sz w:val="20"/>
          <w:szCs w:val="20"/>
        </w:rPr>
        <w:t xml:space="preserve">Carlgren, Rauth &amp; Elmquist (2016). Creativity and Innovation Management. </w:t>
      </w:r>
      <w:hyperlink w:history="1" r:id="rId1ozcectdqbtp2qs7pdkzl">
        <w:r>
          <w:rPr>
            <w:rFonts w:ascii="Noto Sans CJK JP" w:cs="Noto Sans CJK JP" w:eastAsia="Noto Sans CJK JP" w:hAnsi="Noto Sans CJK JP"/>
            <w:color w:val="4A6D8F"/>
            <w:sz w:val="20"/>
            <w:szCs w:val="20"/>
            <w:u w:val="single"/>
          </w:rPr>
          <w:t xml:space="preserve">doi:10.1111/caim.12176</w:t>
        </w:r>
      </w:hyperlink>
    </w:p>
    <w:p>
      <w:pPr>
        <w:spacing w:before="160"/>
      </w:pPr>
      <w:r>
        <w:rPr>
          <w:rFonts w:ascii="Noto Sans CJK JP" w:cs="Noto Sans CJK JP" w:eastAsia="Noto Sans CJK JP" w:hAnsi="Noto Sans CJK JP"/>
          <w:i/>
          <w:iCs/>
          <w:color w:val="7C6670"/>
          <w:sz w:val="18"/>
          <w:szCs w:val="18"/>
        </w:rPr>
        <w:t xml:space="preserve">※ 引用前に各DOIリンクで原典をご確認ください。本資料は学習補助です。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Noto Sans CJK JP" w:cs="Noto Sans CJK JP" w:eastAsia="Noto Sans CJK JP" w:hAnsi="Noto Sans CJK JP"/>
      <w:b/>
      <w:bCs/>
      <w:color w:val="8F2F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Noto Sans CJK JP" w:cs="Noto Sans CJK JP" w:eastAsia="Noto Sans CJK JP" w:hAnsi="Noto Sans CJK JP"/>
      <w:b/>
      <w:bCs/>
      <w:color w:val="B846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ojg3nblzzisfbh9gwmx" Type="http://schemas.openxmlformats.org/officeDocument/2006/relationships/hyperlink" Target="https://doi.org/10.1007/s10648-019-09465-5" TargetMode="External"/><Relationship Id="rIdmvadnze7lairqhmol0hhn" Type="http://schemas.openxmlformats.org/officeDocument/2006/relationships/hyperlink" Target="https://doi.org/10.1016/0959-4752(94)90003-5" TargetMode="External"/><Relationship Id="rIdhjy6pk-sgqsu673g-cdgm" Type="http://schemas.openxmlformats.org/officeDocument/2006/relationships/hyperlink" Target="https://doi.org/10.1177/0963721420922183" TargetMode="External"/><Relationship Id="rIdptynql4pvyiyox9xnq-un" Type="http://schemas.openxmlformats.org/officeDocument/2006/relationships/hyperlink" Target="https://doi.org/10.1007/s10648-023-09842-1" TargetMode="External"/><Relationship Id="rIdziif19-ydbajuqzo_6tbm" Type="http://schemas.openxmlformats.org/officeDocument/2006/relationships/hyperlink" Target="https://doi.org/10.1037/0022-0663.93.1.187" TargetMode="External"/><Relationship Id="rIdkk6kmismm-cey6xmcdhx3" Type="http://schemas.openxmlformats.org/officeDocument/2006/relationships/hyperlink" Target="https://doi.org/10.1037/0022-0663.100.2.380" TargetMode="External"/><Relationship Id="rIdhw7mqar8yotljsoqjqwwp" Type="http://schemas.openxmlformats.org/officeDocument/2006/relationships/hyperlink" Target="https://doi.org/10.1016/j.apergo.2009.09.002" TargetMode="External"/><Relationship Id="rIdtsta_35j385gtgbgj98fw" Type="http://schemas.openxmlformats.org/officeDocument/2006/relationships/hyperlink" Target="https://doi.org/10.1016/j.ijhcs.2010.05.006" TargetMode="External"/><Relationship Id="rIddrqbwhawybvvtqcy1x61h" Type="http://schemas.openxmlformats.org/officeDocument/2006/relationships/hyperlink" Target="https://doi.org/10.1007/s10209-009-0160-5" TargetMode="External"/><Relationship Id="rIdocottc05mnsi6vtno00rh" Type="http://schemas.openxmlformats.org/officeDocument/2006/relationships/hyperlink" Target="https://doi.org/10.1111/jpim.12466" TargetMode="External"/><Relationship Id="rIdy2thvlr25xfebbxkhgysd" Type="http://schemas.openxmlformats.org/officeDocument/2006/relationships/hyperlink" Target="https://doi.org/10.1002/rev3.3186" TargetMode="External"/><Relationship Id="rId1ozcectdqbtp2qs7pdkzl" Type="http://schemas.openxmlformats.org/officeDocument/2006/relationships/hyperlink" Target="https://doi.org/10.1111/caim.12176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2026-06-23T10:42:13.211Z</dcterms:created>
  <dcterms:modified xsi:type="dcterms:W3CDTF">2026-06-23T10:42:13.211Z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