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r>
        <w:rPr>
          <w:rFonts w:hint="eastAsia"/>
        </w:rPr>
        <w:t>api</w:t>
      </w:r>
      <w:r>
        <w:rPr>
          <w:rFonts w:hint="eastAsia"/>
        </w:rPr>
        <w:t>的域名为：</w:t>
      </w:r>
      <w:r w:rsidR="00B26DD3" w:rsidRPr="00B26DD3">
        <w:t>http://vue.studyit.io</w:t>
      </w:r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/api</w:t>
      </w:r>
      <w:r>
        <w:t>/getlunbo</w:t>
      </w:r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newid: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title:”</w:t>
            </w:r>
            <w:r w:rsidR="00C756ED" w:rsidRPr="009E7E07">
              <w:rPr>
                <w:rFonts w:hint="eastAsia"/>
                <w:color w:val="FF0000"/>
              </w:rPr>
              <w:t>全部</w:t>
            </w:r>
            <w:r w:rsidR="00C756ED" w:rsidRPr="009E7E07">
              <w:rPr>
                <w:color w:val="FF0000"/>
              </w:rPr>
              <w:t xml:space="preserve">”,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/api/getthumimages/:imgid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/api/getimageInfo/:imgid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/api/getcomments/:artid?pageindex=1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/api/postcomment/:artid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"status":0,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/api/getgoods?pageindex=number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获取第一页数据写法：</w:t>
            </w:r>
            <w:r>
              <w:rPr>
                <w:rFonts w:hint="eastAsia"/>
              </w:rPr>
              <w:t>/api/getgoods?pageindex=1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/api/goods/getdesc/:id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/api/goods/getshopcarlist/:ids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/api/goods/getinfo/:id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vueapi.ittun.com/api/delproduct/8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3C8E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longbin liu</cp:lastModifiedBy>
  <cp:revision>198</cp:revision>
  <dcterms:created xsi:type="dcterms:W3CDTF">2016-10-11T06:55:00Z</dcterms:created>
  <dcterms:modified xsi:type="dcterms:W3CDTF">2017-10-26T17:11:00Z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