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color w:val="1E293B"/>
          <w:sz w:val="44"/>
        </w:rPr>
        <w:t>Enterprise Architecture Design: CognitiveDoc AI</w:t>
        <w:br/>
      </w:r>
      <w:r>
        <w:rPr>
          <w:rFonts w:ascii="Calibri" w:hAnsi="Calibri"/>
          <w:b w:val="0"/>
          <w:color w:val="6366F1"/>
          <w:sz w:val="24"/>
        </w:rPr>
        <w:t>Integration between Microsoft Azure and IBM Cloud</w:t>
        <w:br/>
      </w:r>
    </w:p>
    <w:p>
      <w:r>
        <w:rPr>
          <w:rFonts w:ascii="Georgia" w:hAnsi="Georgia"/>
          <w:b/>
          <w:color w:val="1E293B"/>
          <w:sz w:val="28"/>
        </w:rPr>
        <w:t>1. High-Level Architecture Overview</w:t>
      </w:r>
    </w:p>
    <w:p>
      <w:r>
        <w:rPr>
          <w:rFonts w:ascii="Calibri" w:hAnsi="Calibri"/>
          <w:b w:val="0"/>
          <w:sz w:val="22"/>
        </w:rPr>
        <w:t>CognitiveDoc AI utilizes a Hybrid Multi-Cloud Architecture:</w:t>
        <w:br/>
        <w:t>• Azure DevOps (Microsoft) is used for project management, source control, and the automated CI/CD pipeline (DevOps Layer).</w:t>
        <w:br/>
        <w:t>• IBM Cloud hosts the serverless runtime (IBM Code Engine) and the core AI services (watsonx.ai and Watson Discovery).</w:t>
      </w:r>
    </w:p>
    <w:p>
      <w:r>
        <w:drawing>
          <wp:inline xmlns:a="http://schemas.openxmlformats.org/drawingml/2006/main" xmlns:pic="http://schemas.openxmlformats.org/drawingml/2006/picture">
            <wp:extent cx="5486400" cy="58685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94A3B8"/>
          <w:sz w:val="18"/>
        </w:rPr>
        <w:t>Figure 1.1: Multi-Cloud Integration Architecture Diagram</w:t>
      </w:r>
    </w:p>
    <w:p>
      <w:r>
        <w:rPr>
          <w:rFonts w:ascii="Georgia" w:hAnsi="Georgia"/>
          <w:b/>
          <w:color w:val="1E293B"/>
          <w:sz w:val="28"/>
        </w:rPr>
        <w:br/>
        <w:t>2. CI/CD Lifecycle (Azure to IBM Cloud)</w:t>
      </w:r>
    </w:p>
    <w:p>
      <w:r>
        <w:rPr>
          <w:rFonts w:ascii="Calibri" w:hAnsi="Calibri"/>
          <w:b w:val="0"/>
          <w:sz w:val="22"/>
        </w:rPr>
        <w:t>Code pushed to Azure Repos triggers a pipeline that: installs node packages, verifies boot, logs into IBM Cloud, cleans old container images, and deploys to Code Engine from source.</w:t>
      </w:r>
    </w:p>
    <w:p>
      <w:r>
        <w:rPr>
          <w:rFonts w:ascii="Georgia" w:hAnsi="Georgia"/>
          <w:b/>
          <w:color w:val="1E293B"/>
          <w:sz w:val="28"/>
        </w:rPr>
        <w:br/>
        <w:t>3. RAG Runtime Data Flow (The AI Integration)</w:t>
      </w:r>
    </w:p>
    <w:p>
      <w:r>
        <w:rPr>
          <w:rFonts w:ascii="Calibri" w:hAnsi="Calibri"/>
          <w:b w:val="0"/>
          <w:sz w:val="22"/>
        </w:rPr>
        <w:t>• Upload: PDF uploads are saved locally and pushed to Watson Discovery collection.</w:t>
        <w:br/>
        <w:t>• Query: Search inputs query Watson Discovery for relevant text passages. The returned text block is formatted as context and sent to watsonx.ai (Granite-3-8b-instruct) to synthesize the cited answer.</w:t>
      </w:r>
    </w:p>
    <w:p>
      <w:r>
        <w:drawing>
          <wp:inline xmlns:a="http://schemas.openxmlformats.org/drawingml/2006/main" xmlns:pic="http://schemas.openxmlformats.org/drawingml/2006/picture">
            <wp:extent cx="5486400" cy="34399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r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9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94A3B8"/>
          <w:sz w:val="18"/>
        </w:rPr>
        <w:t>Figure 1.2: RAG Pipeline Runtime Interaction Sequence</w:t>
      </w:r>
    </w:p>
    <w:p>
      <w:r>
        <w:rPr>
          <w:b/>
        </w:rPr>
        <w:br/>
        <w:t>4. Resource Directory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Resource</w:t>
            </w:r>
          </w:p>
        </w:tc>
        <w:tc>
          <w:tcPr>
            <w:tcW w:type="dxa" w:w="4320"/>
          </w:tcPr>
          <w:p>
            <w:r>
              <w:t>Functionality</w:t>
            </w:r>
          </w:p>
        </w:tc>
      </w:tr>
      <w:tr>
        <w:tc>
          <w:tcPr>
            <w:tcW w:type="dxa" w:w="4320"/>
          </w:tcPr>
          <w:p>
            <w:r>
              <w:t>Azure Pipelines</w:t>
            </w:r>
          </w:p>
        </w:tc>
        <w:tc>
          <w:tcPr>
            <w:tcW w:type="dxa" w:w="4320"/>
          </w:tcPr>
          <w:p>
            <w:r>
              <w:t>Runs CI/CD, runs boot validation, and deploys to Code Engine.</w:t>
            </w:r>
          </w:p>
        </w:tc>
      </w:tr>
      <w:tr>
        <w:tc>
          <w:tcPr>
            <w:tcW w:type="dxa" w:w="4320"/>
          </w:tcPr>
          <w:p>
            <w:r>
              <w:t>IBM Code Engine</w:t>
            </w:r>
          </w:p>
        </w:tc>
        <w:tc>
          <w:tcPr>
            <w:tcW w:type="dxa" w:w="4320"/>
          </w:tcPr>
          <w:p>
            <w:r>
              <w:t>Serverless runtime hosting Node.js server, scaling to zero when idle.</w:t>
            </w:r>
          </w:p>
        </w:tc>
      </w:tr>
      <w:tr>
        <w:tc>
          <w:tcPr>
            <w:tcW w:type="dxa" w:w="4320"/>
          </w:tcPr>
          <w:p>
            <w:r>
              <w:t>Watson Discovery</w:t>
            </w:r>
          </w:p>
        </w:tc>
        <w:tc>
          <w:tcPr>
            <w:tcW w:type="dxa" w:w="4320"/>
          </w:tcPr>
          <w:p>
            <w:r>
              <w:t>Performs semantic search across uploaded PDFs.</w:t>
            </w:r>
          </w:p>
        </w:tc>
      </w:tr>
      <w:tr>
        <w:tc>
          <w:tcPr>
            <w:tcW w:type="dxa" w:w="4320"/>
          </w:tcPr>
          <w:p>
            <w:r>
              <w:t>watsonx.ai</w:t>
            </w:r>
          </w:p>
        </w:tc>
        <w:tc>
          <w:tcPr>
            <w:tcW w:type="dxa" w:w="4320"/>
          </w:tcPr>
          <w:p>
            <w:r>
              <w:t>Large Language Model (Granite) generating cited natural answers.</w:t>
            </w:r>
          </w:p>
        </w:tc>
      </w:tr>
      <w:tr>
        <w:tc>
          <w:tcPr>
            <w:tcW w:type="dxa" w:w="4320"/>
          </w:tcPr>
          <w:p>
            <w:r>
              <w:t>IBM Cloud Object Storage</w:t>
            </w:r>
          </w:p>
        </w:tc>
        <w:tc>
          <w:tcPr>
            <w:tcW w:type="dxa" w:w="4320"/>
          </w:tcPr>
          <w:p>
            <w:r>
              <w:t>Primary storage bucket for Watson Discovery files.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