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1E293B"/>
          <w:sz w:val="44"/>
        </w:rPr>
        <w:t>GTM Strategy: Listing CognitiveDoc AI on IBM Partner Portal &amp; Marketplace</w:t>
        <w:br/>
      </w:r>
    </w:p>
    <w:p>
      <w:r>
        <w:rPr>
          <w:rFonts w:ascii="Georgia" w:hAnsi="Georgia"/>
          <w:b/>
          <w:color w:val="1E293B"/>
          <w:sz w:val="28"/>
        </w:rPr>
        <w:t>Part 1: Steps to Get IBM Approval (Technical Validation)</w:t>
      </w:r>
    </w:p>
    <w:p>
      <w:r>
        <w:rPr>
          <w:rFonts w:ascii="Calibri" w:hAnsi="Calibri"/>
          <w:b w:val="0"/>
          <w:sz w:val="22"/>
        </w:rPr>
        <w:t>IBM has strict criteria before they list partner solutions in their catalogs or allow their direct sales reps to co-sell them.</w:t>
        <w:br/>
        <w:br/>
        <w:t>1. Register under IBM Partner Plus (Build Track)</w:t>
        <w:br/>
        <w:t>• Log into the IBM Partner Plus Portal.</w:t>
        <w:br/>
        <w:t>• Register CognitiveDoc AI under the Build Track.</w:t>
        <w:br/>
        <w:br/>
        <w:t>2. Prepare the Technical Validation Package</w:t>
        <w:br/>
        <w:t>• The Architecture Diagram: Submit the Architecture Design Document.</w:t>
        <w:br/>
        <w:t>• Demonstration Video: Record a short 3-minute video showing document uploading, querying with citation highlights, and search verification.</w:t>
        <w:br/>
        <w:t>• Code Verification: Provide package.json demonstrating active import of watsonx-ai and ibm-watson SDKs.</w:t>
      </w:r>
    </w:p>
    <w:p>
      <w:r>
        <w:rPr>
          <w:rFonts w:ascii="Georgia" w:hAnsi="Georgia"/>
          <w:b/>
          <w:color w:val="1E293B"/>
          <w:sz w:val="28"/>
        </w:rPr>
        <w:t>Part 2: Structuring Your Listing for Maximum Leads</w:t>
      </w:r>
    </w:p>
    <w:p>
      <w:r>
        <w:rPr>
          <w:rFonts w:ascii="Calibri" w:hAnsi="Calibri"/>
          <w:b w:val="0"/>
          <w:sz w:val="22"/>
        </w:rPr>
        <w:t>Optimize your listing copy using the following framework:</w:t>
        <w:br/>
        <w:br/>
        <w:t>1. The Listing Headline (Hook)</w:t>
        <w:br/>
        <w:t>• Approved Headline: 'CognitiveDoc AI: Secure Serverless RAG Accelerator powered by watsonx.ai'</w:t>
        <w:br/>
        <w:br/>
        <w:t>2. The Solution Description</w:t>
        <w:br/>
        <w:t>• Copy: 'CognitiveDoc AI is an enterprise-grade RAG platform that transforms unstructured PDFs and contracts into actionable insights. Hosted serverlessly on IBM Code Engine, it integrates Watson Discovery for instant semantic search and watsonx.ai (Granite LLM) to generate conversational answers backed by strict citations.'</w:t>
        <w:br/>
        <w:br/>
        <w:t>3. SEO Keywords</w:t>
        <w:br/>
        <w:t>• Tags: watsonx.ai, RAG Accelerator, IBM Granite, Serverless Document Insights, Watson Discovery V2, Code Engine.</w:t>
      </w:r>
    </w:p>
    <w:p>
      <w:r>
        <w:rPr>
          <w:rFonts w:ascii="Georgia" w:hAnsi="Georgia"/>
          <w:b/>
          <w:color w:val="1E293B"/>
          <w:sz w:val="28"/>
        </w:rPr>
        <w:t>Part 3: Winning the 'Co-Sell' Game with IBM Sellers</w:t>
      </w:r>
    </w:p>
    <w:p>
      <w:r>
        <w:rPr>
          <w:rFonts w:ascii="Calibri" w:hAnsi="Calibri"/>
          <w:b w:val="0"/>
          <w:sz w:val="22"/>
        </w:rPr>
        <w:t>Much of the lead generation comes from IBM's own sales reps looking to bundle partner software. Publish a 'Sellers Kit' containing:</w:t>
        <w:br/>
        <w:t>• Client Presentation (PDF): A 5-slide pitch deck highlighting the business value.</w:t>
        <w:br/>
        <w:t>• 1-Pager (Battlecard): A single-page sheet highlighting pricing and target customers.</w:t>
        <w:br/>
        <w:t>• Offer a Try-and-Buy sandbox: Keep a demo Code Engine application running for prospects to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