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E293B"/>
          <w:sz w:val="44"/>
        </w:rPr>
        <w:t>Product One-Pager &amp; Battlecard: CognitiveDoc AI</w:t>
        <w:br/>
      </w:r>
      <w:r>
        <w:rPr>
          <w:rFonts w:ascii="Calibri" w:hAnsi="Calibri"/>
          <w:b w:val="0"/>
          <w:color w:val="6366F1"/>
          <w:sz w:val="24"/>
        </w:rPr>
        <w:t>AI-Powered Document Intelligence for High-Compliance Sectors</w:t>
        <w:br/>
      </w:r>
    </w:p>
    <w:p>
      <w:r>
        <w:rPr>
          <w:rFonts w:ascii="Georgia" w:hAnsi="Georgia"/>
          <w:b/>
          <w:color w:val="1E293B"/>
          <w:sz w:val="28"/>
        </w:rPr>
        <w:t>1. Executive Summary</w:t>
      </w:r>
    </w:p>
    <w:p>
      <w:r>
        <w:rPr>
          <w:rFonts w:ascii="Calibri" w:hAnsi="Calibri"/>
          <w:b w:val="0"/>
          <w:sz w:val="22"/>
        </w:rPr>
        <w:t>CognitiveDoc AI is a Retrieval-Augmented Generation (RAG) platform designed to parse, search, and extract verified insights from unstructured enterprise documents (PDFs, DOCX, TXT). Powered by IBM Watson Discovery and watsonx.ai, it yields conversational answers with direct source citations, deployed serverlessly on IBM Code Engine.</w:t>
      </w:r>
    </w:p>
    <w:p>
      <w:r>
        <w:rPr>
          <w:rFonts w:ascii="Georgia" w:hAnsi="Georgia"/>
          <w:b/>
          <w:color w:val="1E293B"/>
          <w:sz w:val="28"/>
        </w:rPr>
        <w:t>2. Key Audience &amp; Target Profiles</w:t>
      </w:r>
    </w:p>
    <w:p>
      <w:r>
        <w:rPr>
          <w:rFonts w:ascii="Calibri" w:hAnsi="Calibri"/>
          <w:b w:val="0"/>
          <w:sz w:val="22"/>
        </w:rPr>
        <w:t>• Legal &amp; Contract Teams: Instantly review terms, liabilities, payment parameters, and clauses across multi-page legal agreements.</w:t>
        <w:br/>
        <w:t>• Banking &amp; Finance Compliance: Cross-reference operational actions against massive regulatory guidelines (GDPR, regional financial policies).</w:t>
        <w:br/>
        <w:t>• Government &amp; Public Sector: Search standard operating guidelines (SOPs) and policy manuals securely with strict data privacy.</w:t>
      </w:r>
    </w:p>
    <w:p>
      <w:r>
        <w:rPr>
          <w:rFonts w:ascii="Georgia" w:hAnsi="Georgia"/>
          <w:b/>
          <w:color w:val="1E293B"/>
          <w:sz w:val="28"/>
        </w:rPr>
        <w:t>3. Product Features &amp; Functionalities</w:t>
      </w:r>
    </w:p>
    <w:p>
      <w:r>
        <w:rPr>
          <w:rFonts w:ascii="Calibri" w:hAnsi="Calibri"/>
          <w:b w:val="0"/>
          <w:sz w:val="22"/>
        </w:rPr>
        <w:t>• Direct Page Citations: Clickable inline links that map text generations back to the exact source page, preventing hallucinations.</w:t>
        <w:br/>
        <w:t>• Instant Document Summarization: AI-powered executive abstraction models that summarize a document under 150 words in one click.</w:t>
        <w:br/>
        <w:t>• Knowledge Base Lifecycle Manager: Upload, search, and delete documents securely from the vector index with integrated APIs.</w:t>
        <w:br/>
        <w:t>• Serverless Architecture: Scale to zero during idle periods, guaranteeing low operational costs.</w:t>
      </w:r>
    </w:p>
    <w:p>
      <w:r>
        <w:rPr>
          <w:rFonts w:ascii="Georgia" w:hAnsi="Georgia"/>
          <w:b/>
          <w:color w:val="1E293B"/>
          <w:sz w:val="28"/>
        </w:rPr>
        <w:t>4. System Requirements &amp; Architecture Specifications</w:t>
      </w:r>
    </w:p>
    <w:p>
      <w:r>
        <w:rPr>
          <w:rFonts w:ascii="Calibri" w:hAnsi="Calibri"/>
          <w:b w:val="0"/>
          <w:sz w:val="22"/>
        </w:rPr>
        <w:t>• Runtime Platform: Node.js 20+ runtime deployed serverlessly via IBM Code Engine.</w:t>
        <w:br/>
        <w:t>• Integration API: Native IBM Cloud Authenticator (IAM keys) connecting to discovery/v2 and @ibm-cloud/watsonx-ai.</w:t>
        <w:br/>
        <w:t>• CI/CD Pipeline: Fully automated deployments from Azure Pipelines to IBM Container Registry.</w:t>
        <w:br/>
        <w:t>• Security &amp; Compliance: Runs inside dedicated private namespaces. All data is protected with encryption-at-rest and strict isolation.</w:t>
      </w:r>
    </w:p>
    <w:p>
      <w:r>
        <w:rPr>
          <w:b/>
        </w:rPr>
        <w:br/>
        <w:t>5. Pricing Tiers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Pricing</w:t>
            </w:r>
          </w:p>
        </w:tc>
        <w:tc>
          <w:tcPr>
            <w:tcW w:type="dxa" w:w="1728"/>
          </w:tcPr>
          <w:p>
            <w:r>
              <w:t>Ideal For</w:t>
            </w:r>
          </w:p>
        </w:tc>
        <w:tc>
          <w:tcPr>
            <w:tcW w:type="dxa" w:w="1728"/>
          </w:tcPr>
          <w:p>
            <w:r>
              <w:t>Document Limit</w:t>
            </w:r>
          </w:p>
        </w:tc>
        <w:tc>
          <w:tcPr>
            <w:tcW w:type="dxa" w:w="1728"/>
          </w:tcPr>
          <w:p>
            <w:r>
              <w:t>API Token Limit</w:t>
            </w:r>
          </w:p>
        </w:tc>
      </w:tr>
      <w:tr>
        <w:tc>
          <w:tcPr>
            <w:tcW w:type="dxa" w:w="1728"/>
          </w:tcPr>
          <w:p>
            <w:r>
              <w:t>Sandbox (Lite)</w:t>
            </w:r>
          </w:p>
        </w:tc>
        <w:tc>
          <w:tcPr>
            <w:tcW w:type="dxa" w:w="1728"/>
          </w:tcPr>
          <w:p>
            <w:r>
              <w:t>Free / $0</w:t>
            </w:r>
          </w:p>
        </w:tc>
        <w:tc>
          <w:tcPr>
            <w:tcW w:type="dxa" w:w="1728"/>
          </w:tcPr>
          <w:p>
            <w:r>
              <w:t>PoC &amp; Validation</w:t>
            </w:r>
          </w:p>
        </w:tc>
        <w:tc>
          <w:tcPr>
            <w:tcW w:type="dxa" w:w="1728"/>
          </w:tcPr>
          <w:p>
            <w:r>
              <w:t>Up to 1,000 docs</w:t>
            </w:r>
          </w:p>
        </w:tc>
        <w:tc>
          <w:tcPr>
            <w:tcW w:type="dxa" w:w="1728"/>
          </w:tcPr>
          <w:p>
            <w:r>
              <w:t>25,000 / mo</w:t>
            </w:r>
          </w:p>
        </w:tc>
      </w:tr>
      <w:tr>
        <w:tc>
          <w:tcPr>
            <w:tcW w:type="dxa" w:w="1728"/>
          </w:tcPr>
          <w:p>
            <w:r>
              <w:t>Professional</w:t>
            </w:r>
          </w:p>
        </w:tc>
        <w:tc>
          <w:tcPr>
            <w:tcW w:type="dxa" w:w="1728"/>
          </w:tcPr>
          <w:p>
            <w:r>
              <w:t>$550 / month</w:t>
            </w:r>
          </w:p>
        </w:tc>
        <w:tc>
          <w:tcPr>
            <w:tcW w:type="dxa" w:w="1728"/>
          </w:tcPr>
          <w:p>
            <w:r>
              <w:t>Growth Teams</w:t>
            </w:r>
          </w:p>
        </w:tc>
        <w:tc>
          <w:tcPr>
            <w:tcW w:type="dxa" w:w="1728"/>
          </w:tcPr>
          <w:p>
            <w:r>
              <w:t>Up to 10,000 docs</w:t>
            </w:r>
          </w:p>
        </w:tc>
        <w:tc>
          <w:tcPr>
            <w:tcW w:type="dxa" w:w="1728"/>
          </w:tcPr>
          <w:p>
            <w:r>
              <w:t>500,000 / mo</w:t>
            </w:r>
          </w:p>
        </w:tc>
      </w:tr>
      <w:tr>
        <w:tc>
          <w:tcPr>
            <w:tcW w:type="dxa" w:w="1728"/>
          </w:tcPr>
          <w:p>
            <w:r>
              <w:t>Enterprise</w:t>
            </w:r>
          </w:p>
        </w:tc>
        <w:tc>
          <w:tcPr>
            <w:tcW w:type="dxa" w:w="1728"/>
          </w:tcPr>
          <w:p>
            <w:r>
              <w:t>$5,000+/month</w:t>
            </w:r>
          </w:p>
        </w:tc>
        <w:tc>
          <w:tcPr>
            <w:tcW w:type="dxa" w:w="1728"/>
          </w:tcPr>
          <w:p>
            <w:r>
              <w:t>Enterprise wide</w:t>
            </w:r>
          </w:p>
        </w:tc>
        <w:tc>
          <w:tcPr>
            <w:tcW w:type="dxa" w:w="1728"/>
          </w:tcPr>
          <w:p>
            <w:r>
              <w:t>Unlimited</w:t>
            </w:r>
          </w:p>
        </w:tc>
        <w:tc>
          <w:tcPr>
            <w:tcW w:type="dxa" w:w="1728"/>
          </w:tcPr>
          <w:p>
            <w:r>
              <w:t>Custom Limits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