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Remarque Feature Probe</w:t>
      </w:r>
    </w:p>
    <w:p>
      <w:r>
        <w:t xml:space="preserve">Disposable document for the rebuild inventory. UNIQUE_TOP_ANCHOR</w:t>
      </w:r>
    </w:p>
    <w:p>
      <w:pPr>
        <w:pStyle w:val="Heading2"/>
      </w:pPr>
      <w:r>
        <w:t xml:space="preserve">Inline formatting</w:t>
      </w:r>
    </w:p>
    <w:p>
      <w:r>
        <w:t xml:space="preserve">Plain </w:t>
      </w:r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, </w:t>
      </w:r>
      <w:r>
        <w:rPr>
          <w:b/>
          <w:i/>
        </w:rPr>
        <w:t xml:space="preserve">both</w:t>
      </w:r>
      <w:r>
        <w:t xml:space="preserve">, </w:t>
      </w:r>
      <w:r>
        <w:rPr>
          <w:strike/>
        </w:rPr>
        <w:t xml:space="preserve">strike</w:t>
      </w:r>
      <w:r>
        <w:t xml:space="preserve">, </w:t>
      </w:r>
      <w:r>
        <w:rPr>
          <w:rStyle w:val="InlineCode"/>
        </w:rPr>
        <w:t xml:space="preserve">inline_code</w:t>
      </w:r>
      <w:r>
        <w:t xml:space="preserve">, </w:t>
      </w:r>
      <w:r>
        <w:rPr>
          <w:highlight w:val="yellow"/>
        </w:rPr>
        <w:t xml:space="preserve">highlight</w:t>
      </w:r>
      <w:r>
        <w:t xml:space="preserve">, H</w:t>
      </w:r>
      <w:r>
        <w:rPr>
          <w:vertAlign w:val="subscript"/>
        </w:rPr>
        <w:t xml:space="preserve">2</w:t>
      </w:r>
      <w:r>
        <w:t xml:space="preserve">O, x</w:t>
      </w:r>
      <w:r>
        <w:rPr>
          <w:vertAlign w:val="superscript"/>
        </w:rPr>
        <w:t xml:space="preserve">2</w:t>
      </w:r>
      <w:r>
        <w:t xml:space="preserve">, 🚀 and snake_case.</w:t>
      </w:r>
    </w:p>
    <w:p>
      <w:r>
        <w:t xml:space="preserve">An inline equation </w:t>
      </w:r>
      <w:r>
        <w:drawing>
          <wp:inline distT="0" distB="0" distL="0" distR="0">
            <wp:extent cx="1090612" cy="259754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090612" cy="25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and literal prices $5 and $10.</w:t>
      </w:r>
    </w:p>
    <w:p>
      <w:hyperlink r:id="rIdLink2">
        <w:r>
          <w:rPr>
            <w:rStyle w:val="Hyperlink"/>
          </w:rPr>
          <w:t xml:space="preserve">Inline link</w:t>
        </w:r>
      </w:hyperlink>
      <w:r>
        <w:t xml:space="preserve"> and </w:t>
      </w:r>
      <w:hyperlink r:id="rIdLink3">
        <w:r>
          <w:rPr>
            <w:rStyle w:val="Hyperlink"/>
          </w:rPr>
          <w:t xml:space="preserve">reference link</w:t>
        </w:r>
      </w:hyperlink>
      <w:r>
        <w:t xml:space="preserve">. </w:t>
      </w:r>
      <w:r>
        <w:rPr>
          <w:color w:val="2A6FB5"/>
          <w:u w:val="single"/>
        </w:rPr>
        <w:t xml:space="preserve">Other Note</w:t>
      </w:r>
    </w:p>
    <w:p>
      <w:pPr>
        <w:pStyle w:val="Heading2"/>
      </w:pPr>
      <w:r>
        <w:t xml:space="preserve">Lists and callouts</w:t>
      </w:r>
    </w:p>
    <w:p>
      <w:pPr>
        <w:pStyle w:val="ListParagraph"/>
        <w:numPr>
          <w:ilvl w:val="0"/>
          <w:numId w:val="1"/>
        </w:numPr>
      </w:pPr>
      <w:r>
        <w:t xml:space="preserve">Parent</w:t>
      </w:r>
    </w:p>
    <w:p>
      <w:pPr>
        <w:pStyle w:val="ListParagraph"/>
        <w:numPr>
          <w:ilvl w:val="1"/>
          <w:numId w:val="2"/>
        </w:numPr>
      </w:pPr>
      <w:r>
        <w:t xml:space="preserve">Child</w:t>
      </w:r>
    </w:p>
    <w:p>
      <w:pPr>
        <w:pStyle w:val="ListParagraph"/>
        <w:numPr>
          <w:ilvl w:val="2"/>
          <w:numId w:val="3"/>
        </w:numPr>
      </w:pPr>
      <w:r>
        <w:t xml:space="preserve">Nested ordered child</w:t>
      </w:r>
    </w:p>
    <w:p>
      <w:pPr>
        <w:pStyle w:val="ListParagraph"/>
        <w:ind w:left="420" w:hanging="360"/>
      </w:pPr>
      <w:r>
        <w:t xml:space="preserve">☐  </w:t>
      </w:r>
      <w:r>
        <w:t xml:space="preserve">Unchecked task</w:t>
      </w:r>
    </w:p>
    <w:p>
      <w:pPr>
        <w:pStyle w:val="ListParagraph"/>
        <w:ind w:left="420" w:hanging="360"/>
      </w:pPr>
      <w:r>
        <w:t xml:space="preserve">☑  </w:t>
      </w:r>
      <w:r>
        <w:t xml:space="preserve">Checked task</w:t>
      </w:r>
    </w:p>
    <w:p>
      <w:pPr>
        <w:pStyle w:val="ListParagraph"/>
        <w:numPr>
          <w:ilvl w:val="0"/>
          <w:numId w:val="4"/>
        </w:numPr>
      </w:pPr>
      <w:r>
        <w:t xml:space="preserve">Third</w:t>
      </w:r>
    </w:p>
    <w:p>
      <w:pPr>
        <w:pStyle w:val="ListParagraph"/>
        <w:numPr>
          <w:ilvl w:val="0"/>
          <w:numId w:val="4"/>
        </w:numPr>
      </w:pPr>
      <w:r>
        <w:t xml:space="preserve">Fourth</w:t>
      </w:r>
    </w:p>
    <w:p>
      <w:pPr>
        <w:pStyle w:val="BlockQuote"/>
      </w:pPr>
      <w:r>
        <w:t xml:space="preserve">Ordinary quote</w:t>
      </w:r>
    </w:p>
    <w:p>
      <w:pPr>
        <w:pStyle w:val="BlockQuote"/>
      </w:pPr>
      <w:r>
        <w:t xml:space="preserve">Continued paragraph.</w:t>
      </w:r>
    </w:p>
    <w:p>
      <w:pPr>
        <w:pStyle w:val="BlockQuote"/>
      </w:pPr>
      <w:r>
        <w:rPr>
          <w:b/>
          <w:color w:val="2172D8"/>
        </w:rPr>
        <w:t xml:space="preserve">Custom note title</w:t>
      </w:r>
    </w:p>
    <w:p>
      <w:pPr>
        <w:pStyle w:val="BlockQuote"/>
      </w:pPr>
      <w:r>
        <w:t xml:space="preserve">A note with </w:t>
      </w:r>
      <w:r>
        <w:rPr>
          <w:b/>
        </w:rPr>
        <w:t xml:space="preserve">bold</w:t>
      </w:r>
      <w:r>
        <w:t xml:space="preserve">.</w:t>
      </w:r>
    </w:p>
    <w:p>
      <w:pPr>
        <w:pStyle w:val="BlockQuote"/>
      </w:pPr>
      <w:r>
        <w:rPr>
          <w:b/>
          <w:color w:val="21A063"/>
        </w:rPr>
        <w:t xml:space="preserve">Tip</w:t>
      </w:r>
    </w:p>
    <w:p>
      <w:pPr>
        <w:pStyle w:val="BlockQuote"/>
      </w:pPr>
      <w:r>
        <w:t xml:space="preserve">A tip.</w:t>
      </w:r>
    </w:p>
    <w:p>
      <w:pPr>
        <w:pStyle w:val="BlockQuote"/>
      </w:pPr>
      <w:r>
        <w:rPr>
          <w:b/>
          <w:color w:val="8C4CC6"/>
        </w:rPr>
        <w:t xml:space="preserve">Important</w:t>
      </w:r>
    </w:p>
    <w:p>
      <w:pPr>
        <w:pStyle w:val="BlockQuote"/>
      </w:pPr>
      <w:r>
        <w:t xml:space="preserve">Important.</w:t>
      </w:r>
    </w:p>
    <w:p>
      <w:pPr>
        <w:pStyle w:val="BlockQuote"/>
      </w:pPr>
      <w:r>
        <w:rPr>
          <w:b/>
          <w:color w:val="CC8E19"/>
        </w:rPr>
        <w:t xml:space="preserve">Warning</w:t>
      </w:r>
    </w:p>
    <w:p>
      <w:pPr>
        <w:pStyle w:val="BlockQuote"/>
      </w:pPr>
      <w:r>
        <w:t xml:space="preserve">Warning.</w:t>
      </w:r>
    </w:p>
    <w:p>
      <w:pPr>
        <w:pStyle w:val="BlockQuote"/>
      </w:pPr>
      <w:r>
        <w:rPr>
          <w:b/>
          <w:color w:val="D33D3D"/>
        </w:rPr>
        <w:t xml:space="preserve">Caution</w:t>
      </w:r>
    </w:p>
    <w:p>
      <w:pPr>
        <w:pStyle w:val="BlockQuote"/>
      </w:pPr>
      <w:r>
        <w:t xml:space="preserve">Caution.</w:t>
      </w:r>
    </w:p>
    <w:p>
      <w:pPr>
        <w:pStyle w:val="BlockQuote"/>
      </w:pPr>
      <w:r>
        <w:rPr>
          <w:b/>
          <w:color w:val="6B7284"/>
        </w:rPr>
        <w:t xml:space="preserve">Custom box</w:t>
      </w:r>
    </w:p>
    <w:p>
      <w:pPr>
        <w:pStyle w:val="BlockQuote"/>
      </w:pPr>
      <w:r>
        <w:t xml:space="preserve">A custom callout.</w:t>
      </w:r>
    </w:p>
    <w:p>
      <w:pPr>
        <w:pStyle w:val="Heading2"/>
      </w:pPr>
      <w:r>
        <w:t xml:space="preserve">Tables</w:t>
      </w:r>
    </w:p>
    <w:tbl>
      <w:tblPr>
        <w:tblStyle w:val="TableGrid"/>
        <w:tblW w:w="0" w:type="auto"/>
        <w:jc w:val="center"/>
      </w:tblPr>
      <w:tblGrid>
        <w:gridCol w:w="2000"/>
        <w:gridCol w:w="2000"/>
        <w:gridCol w:w="2000"/>
      </w:tblGrid>
      <w:tr>
        <w:tc>
          <w:tcPr>
            <w:tcW w:w="0" w:type="auto"/>
            <w:shd w:val="clear" w:fill="F1F3F5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Left</w:t>
            </w:r>
          </w:p>
        </w:tc>
        <w:tc>
          <w:tcPr>
            <w:tcW w:w="0" w:type="auto"/>
            <w:shd w:val="clear" w:fill="F1F3F5"/>
          </w:tcPr>
          <w:p>
            <w:pPr>
              <w:pStyle w:val="TableText"/>
              <w:jc w:val="center"/>
            </w:pPr>
            <w:r>
              <w:rPr>
                <w:b/>
              </w:rPr>
              <w:t xml:space="preserve">Center</w:t>
            </w:r>
          </w:p>
        </w:tc>
        <w:tc>
          <w:tcPr>
            <w:tcW w:w="0" w:type="auto"/>
            <w:shd w:val="clear" w:fill="F1F3F5"/>
          </w:tcPr>
          <w:p>
            <w:pPr>
              <w:pStyle w:val="TableText"/>
              <w:jc w:val="right"/>
            </w:pPr>
            <w:r>
              <w:rPr>
                <w:b/>
              </w:rPr>
              <w:t xml:space="preserve">Right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left"/>
            </w:pPr>
            <w:r>
              <w:rPr>
                <w:b/>
              </w:rPr>
              <w:t xml:space="preserve">bold</w:t>
            </w:r>
          </w:p>
        </w:tc>
        <w:tc>
          <w:tcPr>
            <w:tcW w:w="0" w:type="auto"/>
          </w:tcPr>
          <w:p>
            <w:pPr>
              <w:pStyle w:val="TableText"/>
              <w:jc w:val="center"/>
            </w:pPr>
            <w:r>
              <w:t xml:space="preserve">escaped | pipe</w:t>
            </w:r>
          </w:p>
        </w:tc>
        <w:tc>
          <w:tcPr>
            <w:tcW w:w="0" w:type="auto"/>
          </w:tcPr>
          <w:p>
            <w:pPr>
              <w:pStyle w:val="TableText"/>
              <w:jc w:val="right"/>
            </w:pPr>
            <w:r>
              <w:t xml:space="preserve">42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jc w:val="left"/>
            </w:pPr>
            <w:hyperlink r:id="rIdLink4">
              <w:r>
                <w:rPr>
                  <w:rStyle w:val="Hyperlink"/>
                </w:rPr>
                <w:t xml:space="preserve">link</w:t>
              </w:r>
            </w:hyperlink>
          </w:p>
        </w:tc>
        <w:tc>
          <w:tcPr>
            <w:tcW w:w="0" w:type="auto"/>
          </w:tcPr>
          <w:p>
            <w:pPr>
              <w:pStyle w:val="TableText"/>
              <w:jc w:val="center"/>
            </w:pPr>
            <w:r>
              <w:rPr>
                <w:rStyle w:val="InlineCode"/>
              </w:rPr>
              <w:t xml:space="preserve">code</w:t>
            </w:r>
          </w:p>
        </w:tc>
        <w:tc>
          <w:tcPr>
            <w:tcW w:w="0" w:type="auto"/>
          </w:tcPr>
          <w:p>
            <w:pPr>
              <w:pStyle w:val="TableText"/>
              <w:jc w:val="right"/>
            </w:pPr>
            <w:r>
              <w:drawing>
                <wp:inline distT="0" distB="0" distL="0" distR="0">
                  <wp:extent cx="285948" cy="239712"/>
                  <wp:effectExtent l="0" t="0" r="0" b="0"/>
                  <wp:docPr id="2" name="Imag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948" cy="239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 xml:space="preserve">Code and equations</w:t>
      </w:r>
    </w:p>
    <w:p>
      <w:pPr>
        <w:pStyle w:val="CodeBlock"/>
      </w:pPr>
      <w:r>
        <w:rPr>
          <w:color w:val="7C8794"/>
        </w:rPr>
        <w:t xml:space="preserve">SWIFT</w:t>
      </w:r>
    </w:p>
    <w:p>
      <w:pPr>
        <w:pStyle w:val="CodeBlock"/>
      </w:pPr>
      <w:r>
        <w:rPr>
          <w:color w:val="9B2393"/>
        </w:rPr>
        <w:t xml:space="preserve">let</w:t>
      </w:r>
      <w:r>
        <w:t xml:space="preserve"> greeting = </w:t>
      </w:r>
      <w:r>
        <w:rPr>
          <w:color w:val="C41A16"/>
        </w:rPr>
        <w:t xml:space="preserve">"Hello"</w:t>
      </w:r>
    </w:p>
    <w:p>
      <w:pPr>
        <w:pStyle w:val="CodeBlock"/>
      </w:pPr>
      <w:r>
        <w:rPr>
          <w:color w:val="6E7781"/>
        </w:rPr>
        <w:t xml:space="preserve">// A comment</w:t>
      </w:r>
    </w:p>
    <w:p>
      <w:pPr>
        <w:pStyle w:val="CodeBlock"/>
      </w:pPr>
      <w:r>
        <w:rPr>
          <w:color w:val="2152A3"/>
        </w:rPr>
        <w:t xml:space="preserve">print</w:t>
      </w:r>
      <w:r>
        <w:t xml:space="preserve">(greeting)</w:t>
      </w:r>
    </w:p>
    <w:p>
      <w:pPr>
        <w:pStyle w:val="CodeBlock"/>
      </w:pPr>
      <w:r>
        <w:rPr>
          <w:color w:val="7C8794"/>
        </w:rPr>
        <w:t xml:space="preserve">TEXT</w:t>
      </w:r>
    </w:p>
    <w:p>
      <w:pPr>
        <w:pStyle w:val="CodeBlock"/>
      </w:pPr>
      <w:r>
        <w:t xml:space="preserve">```nested fence```</w:t>
      </w:r>
    </w:p>
    <w:p>
      <w:pPr>
        <w:jc w:val="center"/>
        <w:spacing w:before="80" w:after="160"/>
      </w:pPr>
      <w:r>
        <w:drawing>
          <wp:inline distT="0" distB="0" distL="0" distR="0">
            <wp:extent cx="2336601" cy="689768"/>
            <wp:effectExtent l="0" t="0" r="0" b="0"/>
            <wp:docPr id="3" name="Imag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2336601" cy="68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Extended structure</w:t>
      </w:r>
    </w:p>
    <w:p>
      <w:r>
        <w:t xml:space="preserve">A footnote reference.</w:t>
      </w:r>
      <w:r>
        <w:rPr>
          <w:vertAlign w:val="superscript"/>
          <w:color w:val="2A6FB5"/>
        </w:rPr>
        <w:t xml:space="preserve">1</w:t>
      </w:r>
    </w:p>
    <w:p>
      <w:r>
        <w:rPr>
          <w:b/>
        </w:rPr>
        <w:t xml:space="preserve">Term</w:t>
      </w:r>
    </w:p>
    <w:p>
      <w:pPr>
        <w:pStyle w:val="BlockQuote"/>
      </w:pPr>
      <w:r>
        <w:t xml:space="preserve">First definition</w:t>
      </w:r>
    </w:p>
    <w:p>
      <w:pPr>
        <w:pStyle w:val="BlockQuote"/>
      </w:pPr>
      <w:r>
        <w:t xml:space="preserve">Second definition</w:t>
      </w:r>
    </w:p>
    <w:p>
      <w:r>
        <w:rPr>
          <w:b/>
        </w:rPr>
        <w:t xml:space="preserve">Expandable section</w:t>
      </w:r>
    </w:p>
    <w:p>
      <w:r>
        <w:t xml:space="preserve">Hidden </w:t>
      </w:r>
      <w:r>
        <w:rPr>
          <w:b/>
        </w:rPr>
        <w:t xml:space="preserve">Markdown</w:t>
      </w:r>
      <w:r>
        <w:t xml:space="preserve"> and </w:t>
      </w:r>
      <w:r>
        <w:drawing>
          <wp:inline distT="0" distB="0" distL="0" distR="0">
            <wp:extent cx="285948" cy="239712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285948" cy="2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</w:t>
      </w:r>
    </w:p>
    <w:p>
      <w:pPr>
        <w:pStyle w:val="Heading1"/>
      </w:pPr>
      <w:r>
        <w:t xml:space="preserve">Setext heading</w:t>
      </w:r>
    </w:p>
    <w:p>
      <w:r>
        <w:t xml:space="preserve">Hard break follows.
Second line.</w:t>
      </w:r>
    </w:p>
    <w:p>
      <w:pPr>
        <w:pBdr>
          <w:bottom w:val="single" w:sz="6" w:space="1" w:color="CBD2D9"/>
        </w:pBdr>
      </w:pPr>
    </w:p>
    <w:p>
      <w:pPr>
        <w:pStyle w:val="Heading2"/>
      </w:pPr>
      <w:r>
        <w:t xml:space="preserve">Diagrams</w:t>
      </w:r>
    </w:p>
    <w:p>
      <w:pPr>
        <w:pStyle w:val="DiagramCaption"/>
      </w:pPr>
      <w:r>
        <w:t xml:space="preserve">Flow probe</w:t>
      </w:r>
    </w:p>
    <w:p>
      <w:pPr>
        <w:jc w:val="center"/>
        <w:spacing w:before="80" w:after="160"/>
      </w:pPr>
      <w:r>
        <w:drawing>
          <wp:inline distT="0" distB="0" distL="0" distR="0">
            <wp:extent cx="5842000" cy="1670951"/>
            <wp:effectExtent l="0" t="0" r="0" b="0"/>
            <wp:docPr id="5" name="Imag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167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80" w:after="160"/>
      </w:pPr>
      <w:r>
        <w:drawing>
          <wp:inline distT="0" distB="0" distL="0" distR="0">
            <wp:extent cx="5715000" cy="3390900"/>
            <wp:effectExtent l="0" t="0" r="0" b="0"/>
            <wp:docPr id="6" name="Imag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80" w:after="160"/>
      </w:pPr>
      <w:r>
        <w:drawing>
          <wp:inline distT="0" distB="0" distL="0" distR="0">
            <wp:extent cx="1225550" cy="3784600"/>
            <wp:effectExtent l="0" t="0" r="0" b="0"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80" w:after="160"/>
      </w:pPr>
      <w:r>
        <w:drawing>
          <wp:inline distT="0" distB="0" distL="0" distR="0">
            <wp:extent cx="2089150" cy="2032000"/>
            <wp:effectExtent l="0" t="0" r="0" b="0"/>
            <wp:docPr id="8" name="Imag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208915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80" w:after="160"/>
      </w:pPr>
      <w:r>
        <w:drawing>
          <wp:inline distT="0" distB="0" distL="0" distR="0">
            <wp:extent cx="5842000" cy="4595979"/>
            <wp:effectExtent l="0" t="0" r="0" b="0"/>
            <wp:docPr id="9" name="Imag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59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Repeated heading</w:t>
      </w:r>
    </w:p>
    <w:p>
      <w:r>
        <w:t xml:space="preserve">First duplicate. UNIQUE_MIDDLE_ANCHOR</w:t>
      </w:r>
    </w:p>
    <w:p>
      <w:pPr>
        <w:pStyle w:val="Heading2"/>
      </w:pPr>
      <w:r>
        <w:t xml:space="preserve">Repeated heading</w:t>
      </w:r>
    </w:p>
    <w:p>
      <w:r>
        <w:t xml:space="preserve">Second duplicate. Unicode: café, 日本語, 👩🏽‍💻.</w:t>
      </w:r>
    </w:p>
    <w:p>
      <w:pPr>
        <w:pStyle w:val="Heading2"/>
      </w:pPr>
      <w:r>
        <w:t xml:space="preserve">End marker</w:t>
      </w:r>
    </w:p>
    <w:p>
      <w:r>
        <w:t xml:space="preserve">UNIQUE_BOTTOM_ANCHOR. Selecting this rendered sentence should identify this source paragraph in the rebuilt editor.</w:t>
      </w:r>
    </w:p>
    <w:p>
      <w:pPr>
        <w:pBdr>
          <w:top w:val="single" w:sz="6" w:space="1" w:color="CBD2D9"/>
        </w:pBdr>
      </w:pPr>
    </w:p>
    <w:p>
      <w:pPr>
        <w:pStyle w:val="BlockQuote"/>
      </w:pPr>
      <w:r>
        <w:rPr>
          <w:b/>
        </w:rPr>
        <w:t xml:space="preserve">1. </w:t>
      </w:r>
      <w:r>
        <w:t xml:space="preserve">Footnote </w:t>
      </w:r>
      <w:r>
        <w:rPr>
          <w:b/>
        </w:rPr>
        <w:t xml:space="preserve">content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360"/>
      </w:pPr>
      <w:rPr>
        <w:rFonts w:ascii="Arial" w:hAnsi="Arial" w:hint="default"/>
      </w:rPr>
    </w:lvl>
    <w:lvl w:ilvl="1">
      <w:start w:val="1"/>
      <w:numFmt w:val="bullet"/>
      <w:lvlText w:val="◦"/>
      <w:lvlJc w:val="left"/>
      <w:pPr>
        <w:ind w:left="840" w:hanging="360"/>
      </w:pPr>
      <w:rPr>
        <w:rFonts w:ascii="Arial" w:hAnsi="Arial" w:hint="default"/>
      </w:rPr>
    </w:lvl>
    <w:lvl w:ilvl="2">
      <w:start w:val="1"/>
      <w:numFmt w:val="bullet"/>
      <w:lvlText w:val="▪"/>
      <w:lvlJc w:val="left"/>
      <w:pPr>
        <w:ind w:left="12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1680" w:hanging="360"/>
      </w:pPr>
      <w:rPr>
        <w:rFonts w:ascii="Arial" w:hAnsi="Arial" w:hint="default"/>
      </w:rPr>
    </w:lvl>
    <w:lvl w:ilvl="4">
      <w:start w:val="1"/>
      <w:numFmt w:val="bullet"/>
      <w:lvlText w:val="◦"/>
      <w:lvlJc w:val="left"/>
      <w:pPr>
        <w:ind w:left="2100" w:hanging="360"/>
      </w:pPr>
      <w:rPr>
        <w:rFonts w:ascii="Arial" w:hAnsi="Arial" w:hint="default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2940" w:hanging="360"/>
      </w:pPr>
      <w:rPr>
        <w:rFonts w:ascii="Arial" w:hAnsi="Arial" w:hint="default"/>
      </w:rPr>
    </w:lvl>
    <w:lvl w:ilvl="7">
      <w:start w:val="1"/>
      <w:numFmt w:val="bullet"/>
      <w:lvlText w:val="◦"/>
      <w:lvlJc w:val="left"/>
      <w:pPr>
        <w:ind w:left="3360" w:hanging="360"/>
      </w:pPr>
      <w:rPr>
        <w:rFonts w:ascii="Arial" w:hAnsi="Arial" w:hint="default"/>
      </w:rPr>
    </w:lvl>
    <w:lvl w:ilvl="8">
      <w:start w:val="1"/>
      <w:numFmt w:val="bullet"/>
      <w:lvlText w:val="▪"/>
      <w:lvlJc w:val="left"/>
      <w:pPr>
        <w:ind w:left="3780" w:hanging="360"/>
      </w:pPr>
      <w:rPr>
        <w:rFonts w:ascii="Arial" w:hAnsi="Aria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360"/>
      </w:pPr>
    </w:lvl>
    <w:lvl w:ilvl="1">
      <w:start w:val="1"/>
      <w:numFmt w:val="decimal"/>
      <w:lvlText w:val="%2."/>
      <w:lvlJc w:val="left"/>
      <w:pPr>
        <w:ind w:left="840" w:hanging="360"/>
      </w:pPr>
    </w:lvl>
    <w:lvl w:ilvl="2">
      <w:start w:val="1"/>
      <w:numFmt w:val="decimal"/>
      <w:lvlText w:val="%3."/>
      <w:lvlJc w:val="left"/>
      <w:pPr>
        <w:ind w:left="1260" w:hanging="360"/>
      </w:pPr>
    </w:lvl>
    <w:lvl w:ilvl="3">
      <w:start w:val="1"/>
      <w:numFmt w:val="decimal"/>
      <w:lvlText w:val="%4."/>
      <w:lvlJc w:val="left"/>
      <w:pPr>
        <w:ind w:left="1680" w:hanging="360"/>
      </w:pPr>
    </w:lvl>
    <w:lvl w:ilvl="4">
      <w:start w:val="1"/>
      <w:numFmt w:val="decimal"/>
      <w:lvlText w:val="%5."/>
      <w:lvlJc w:val="left"/>
      <w:pPr>
        <w:ind w:left="210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940" w:hanging="360"/>
      </w:pPr>
    </w:lvl>
    <w:lvl w:ilvl="7">
      <w:start w:val="1"/>
      <w:numFmt w:val="decimal"/>
      <w:lvlText w:val="%8."/>
      <w:lvlJc w:val="left"/>
      <w:pPr>
        <w:ind w:left="3360" w:hanging="360"/>
      </w:pPr>
    </w:lvl>
    <w:lvl w:ilvl="8">
      <w:start w:val="1"/>
      <w:numFmt w:val="decimal"/>
      <w:lvlText w:val="%9."/>
      <w:lvlJc w:val="left"/>
      <w:pPr>
        <w:ind w:left="3780" w:hanging="360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1">
      <w:startOverride w:val="1"/>
    </w:lvlOverride>
  </w:num>
  <w:num w:numId="3">
    <w:abstractNumId w:val="1"/>
    <w:lvlOverride w:ilvl="2">
      <w:startOverride w:val="1"/>
    </w:lvlOverride>
  </w:num>
  <w:num w:numId="4">
    <w:abstractNumId w:val="1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Aptos" w:hAnsi="Aptos" w:cs="Arial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240" w:after="240"/>
    </w:pPr>
    <w:rPr>
      <w:rFonts w:ascii="Aptos Display" w:hAnsi="Aptos Display"/>
      <w:b/>
      <w:sz w:val="56"/>
    </w:rPr>
  </w:style>
  <w:style w:type="paragraph" w:styleId="Heading1">
    <w:name w:val="heading 1"/>
    <w:basedOn w:val="Normal"/>
    <w:next w:val="Normal"/>
    <w:qFormat/>
    <w:pPr>
      <w:keepNext/>
      <w:spacing w:before="280" w:after="120"/>
      <w:outlineLvl w:val="0"/>
    </w:pPr>
    <w:rPr>
      <w:rFonts w:ascii="Aptos Display" w:hAnsi="Aptos Display"/>
      <w:b/>
      <w:color w:val="1F2933"/>
      <w:sz w:val="36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rFonts w:ascii="Aptos Display" w:hAnsi="Aptos Display"/>
      <w:b/>
      <w:color w:val="1F2933"/>
      <w:sz w:val="30"/>
    </w:rPr>
  </w:style>
  <w:style w:type="paragraph" w:styleId="Heading3">
    <w:name w:val="heading 3"/>
    <w:basedOn w:val="Normal"/>
    <w:next w:val="Normal"/>
    <w:qFormat/>
    <w:pPr>
      <w:keepNext/>
      <w:spacing w:before="280" w:after="120"/>
      <w:outlineLvl w:val="2"/>
    </w:pPr>
    <w:rPr>
      <w:rFonts w:ascii="Aptos Display" w:hAnsi="Aptos Display"/>
      <w:b/>
      <w:color w:val="1F2933"/>
      <w:sz w:val="26"/>
    </w:rPr>
  </w:style>
  <w:style w:type="paragraph" w:styleId="Heading4">
    <w:name w:val="heading 4"/>
    <w:basedOn w:val="Normal"/>
    <w:next w:val="Normal"/>
    <w:qFormat/>
    <w:pPr>
      <w:keepNext/>
      <w:spacing w:before="280" w:after="120"/>
      <w:outlineLvl w:val="3"/>
    </w:pPr>
    <w:rPr>
      <w:rFonts w:ascii="Aptos Display" w:hAnsi="Aptos Display"/>
      <w:b/>
      <w:color w:val="1F2933"/>
      <w:sz w:val="23"/>
    </w:rPr>
  </w:style>
  <w:style w:type="paragraph" w:styleId="Heading5">
    <w:name w:val="heading 5"/>
    <w:basedOn w:val="Normal"/>
    <w:next w:val="Normal"/>
    <w:qFormat/>
    <w:pPr>
      <w:keepNext/>
      <w:spacing w:before="280" w:after="120"/>
      <w:outlineLvl w:val="4"/>
    </w:pPr>
    <w:rPr>
      <w:rFonts w:ascii="Aptos Display" w:hAnsi="Aptos Display"/>
      <w:b/>
      <w:color w:val="1F2933"/>
      <w:sz w:val="22"/>
    </w:rPr>
  </w:style>
  <w:style w:type="paragraph" w:styleId="Heading6">
    <w:name w:val="heading 6"/>
    <w:basedOn w:val="Normal"/>
    <w:next w:val="Normal"/>
    <w:qFormat/>
    <w:pPr>
      <w:keepNext/>
      <w:spacing w:before="280" w:after="120"/>
      <w:outlineLvl w:val="5"/>
    </w:pPr>
    <w:rPr>
      <w:rFonts w:ascii="Aptos Display" w:hAnsi="Aptos Display"/>
      <w:b/>
      <w:color w:val="1F2933"/>
      <w:sz w:val="21"/>
    </w:rPr>
  </w:style>
  <w:style w:type="paragraph" w:styleId="BlockQuote">
    <w:name w:val="Block Quote"/>
    <w:basedOn w:val="Normal"/>
    <w:pPr>
      <w:ind w:left="480"/>
      <w:pBdr>
        <w:left w:val="single" w:sz="18" w:space="12" w:color="9AA5B1"/>
      </w:pBdr>
    </w:pPr>
    <w:rPr>
      <w:i/>
      <w:color w:val="52606D"/>
    </w:rPr>
  </w:style>
  <w:style w:type="paragraph" w:styleId="CodeBlock">
    <w:name w:val="Code Block"/>
    <w:basedOn w:val="Normal"/>
    <w:pPr>
      <w:spacing w:after="0" w:line="240" w:lineRule="auto"/>
      <w:shd w:val="clear" w:fill="F1F3F5"/>
      <w:ind w:left="120" w:right="120"/>
    </w:pPr>
    <w:rPr>
      <w:rFonts w:ascii="Menlo" w:hAnsi="Menlo" w:cs="Consolas"/>
      <w:sz w:val="20"/>
    </w:rPr>
  </w:style>
  <w:style w:type="character" w:styleId="InlineCode">
    <w:name w:val="Inline Code"/>
    <w:rPr>
      <w:rFonts w:ascii="Menlo" w:hAnsi="Menlo" w:cs="Consolas"/>
      <w:shd w:val="clear" w:fill="F1F3F5"/>
      <w:sz w:val="20"/>
    </w:rPr>
  </w:style>
  <w:style w:type="character" w:styleId="Hyperlink">
    <w:name w:val="Hyperlink"/>
    <w:rPr>
      <w:color w:val="2A6FB5"/>
      <w:u w:val="single"/>
    </w:rPr>
  </w:style>
  <w:style w:type="paragraph" w:styleId="TableText">
    <w:name w:val="Table Text"/>
    <w:basedOn w:val="Normal"/>
    <w:pPr>
      <w:spacing w:after="0"/>
    </w:pPr>
  </w:style>
  <w:style w:type="paragraph" w:styleId="DiagramCaption">
    <w:name w:val="Diagram Caption"/>
    <w:basedOn w:val="Normal"/>
    <w:pPr>
      <w:jc w:val="center"/>
      <w:spacing w:before="120" w:after="40"/>
    </w:pPr>
    <w:rPr>
      <w:b/>
      <w:color w:val="52606D"/>
      <w:sz w:val="20"/>
    </w:rPr>
  </w:style>
  <w:style w:type="paragraph" w:styleId="DiagramPlaceholder">
    <w:name w:val="Diagram Placeholder"/>
    <w:basedOn w:val="Normal"/>
    <w:pPr>
      <w:jc w:val="center"/>
      <w:pBdr>
        <w:top w:val="single" w:sz="6" w:space="6" w:color="CBD2D9"/>
        <w:bottom w:val="single" w:sz="6" w:space="6" w:color="CBD2D9"/>
        <w:left w:val="single" w:sz="6" w:space="6" w:color="CBD2D9"/>
        <w:right w:val="single" w:sz="6" w:space="6" w:color="CBD2D9"/>
      </w:pBdr>
      <w:shd w:val="clear" w:fill="F8F9FA"/>
    </w:pPr>
    <w:rPr>
      <w:i/>
      <w:color w:val="52606D"/>
    </w:rPr>
  </w:style>
  <w:style w:type="paragraph" w:styleId="ListParagraph">
    <w:name w:val="List Paragraph"/>
    <w:basedOn w:val="Normal"/>
    <w:pPr>
      <w:ind w:left="720"/>
      <w:spacing w:after="60"/>
    </w:pPr>
  </w:style>
  <w:style w:type="table" w:styleId="TableGrid">
    <w:name w:val="Table Grid"/>
    <w:tblPr>
      <w:tblBorders>
        <w:top w:val="single" w:sz="4" w:space="0" w:color="CBD2D9"/>
        <w:left w:val="single" w:sz="4" w:space="0" w:color="CBD2D9"/>
        <w:bottom w:val="single" w:sz="4" w:space="0" w:color="CBD2D9"/>
        <w:right w:val="single" w:sz="4" w:space="0" w:color="CBD2D9"/>
        <w:insideH w:val="single" w:sz="4" w:space="0" w:color="CBD2D9"/>
        <w:insideV w:val="single" w:sz="4" w:space="0" w:color="CBD2D9"/>
      </w:tblBorders>
    </w:tbl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Settings" Type="http://schemas.openxmlformats.org/officeDocument/2006/relationships/settings" Target="settings.xml"/>
<Relationship Id="rIdImg1" Type="http://schemas.openxmlformats.org/officeDocument/2006/relationships/image" Target="media/image1.png"/>
<Relationship Id="rIdLink2" Type="http://schemas.openxmlformats.org/officeDocument/2006/relationships/hyperlink" Target="https://example.com" TargetMode="External"/>
<Relationship Id="rIdLink3" Type="http://schemas.openxmlformats.org/officeDocument/2006/relationships/hyperlink" Target="https://example.com" TargetMode="External"/>
<Relationship Id="rIdLink4" Type="http://schemas.openxmlformats.org/officeDocument/2006/relationships/hyperlink" Target="https://example.com" TargetMode="External"/>
<Relationship Id="rIdImg5" Type="http://schemas.openxmlformats.org/officeDocument/2006/relationships/image" Target="media/image2.png"/>
<Relationship Id="rIdImg6" Type="http://schemas.openxmlformats.org/officeDocument/2006/relationships/image" Target="media/image3.png"/>
<Relationship Id="rIdImg7" Type="http://schemas.openxmlformats.org/officeDocument/2006/relationships/image" Target="media/image4.png"/>
<Relationship Id="rIdImg8" Type="http://schemas.openxmlformats.org/officeDocument/2006/relationships/image" Target="media/image5.png"/>
<Relationship Id="rIdImg9" Type="http://schemas.openxmlformats.org/officeDocument/2006/relationships/image" Target="media/image6.png"/>
<Relationship Id="rIdImg10" Type="http://schemas.openxmlformats.org/officeDocument/2006/relationships/image" Target="media/image7.png"/>
<Relationship Id="rIdImg11" Type="http://schemas.openxmlformats.org/officeDocument/2006/relationships/image" Target="media/image8.png"/>
<Relationship Id="rIdImg12" Type="http://schemas.openxmlformats.org/officeDocument/2006/relationships/image" Target="media/image9.png"/>
</Relationships>
</file>

<file path=docProps/app.xml><?xml version="1.0" encoding="utf-8"?>
<Properties xmlns="http://schemas.openxmlformats.org/officeDocument/2006/extended-properties">
  <Application>Remarque</Applicat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feature-probe</dc:title>
  <dc:creator>Remarque</dc:creator>
  <cp:lastModifiedBy>Remarque</cp:lastModifiedBy>
  <dcterms:created xsi:type="dcterms:W3CDTF">2026-01-01T00:00:00Z</dcterms:created>
  <dcterms:modified xsi:type="dcterms:W3CDTF">2026-01-01T00:00:00Z</dcterms:modified>
</cp:coreProperties>
</file>