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或者只给样本打一个质量分再按分数取舍，或者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而在真实语料上试错学习又要以破坏数据为代价。本文提出屏蔽强化学习驱动的时序数据治理智能体 IntroAct-TS。方法由四个模块构成，双证据状态构建融合统计画像与冻结基础模型的行为探测形成决策状态，沙箱干预重测在副本上试执行候选动作并生成可比的奖励读数，共形标定的双信号屏蔽要求模型效用与时序结构同时通过检验才允许提交，屏蔽反馈策略优化用屏蔽后的奖励更新动作选择并在语料内分配探测预算。屏蔽层在这一设计中承担双重职责，它既是安全约束也是奖励塑形器，使策略学到的是能通过结构检验的修复方式。由于所有试错都发生在副本上，探索过程本身不修改语料，智能体因而可以在不付出破坏代价的前提下学习。本文给出五条性质及其证明，涵盖合取屏蔽的损害单调性、非阻塞性、任意策略下的结构安全性、共形风险控制以及屏蔽动作空间上的遗憾界，并规划了八组实验。</w:t>
      </w:r>
    </w:p>
    <w:p w14:paraId="30009AAB" w14:textId="77777777" w:rsidR="000545C4" w:rsidRDefault="00000000">
      <w:pPr/>
    </w:p>
    <w:p w14:paraId="3000B99A" w14:textId="77777777" w:rsidR="000545C4" w:rsidRDefault="00000000">
      <w:pPr>
        <w:ind w:firstLineChars="200" w:firstLine="420"/>
      </w:pPr>
      <w:r>
        <w:rPr>
          <w:rFonts w:hint="eastAsia"/>
        </w:rPr>
        <w:t>时序基础模型在大规模多来源语料上预训练，再迁移到预测、分类与插补等下游任务[1-4]，模型结构趋于稳定之后，能力上限主要由训练语料的质量决定。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本文因此关心如何区分有害的污染与困难但正确的数据，并只对确实需要处理的部分动手。对已有方法的调研结果见表 1。</w:t>
      </w:r>
    </w:p>
    <w:p w14:paraId="30011667" w14:textId="77777777" w:rsidR="000545C4" w:rsidRDefault="00000000">
      <w:pPr/>
    </w:p>
    <w:p w14:paraId="30013556" w14:textId="77777777" w:rsidR="000545C4" w:rsidRDefault="00000000">
      <w:pPr>
        <w:jc w:val="center"/>
      </w:pPr>
      <w:r>
        <w:rPr>
          <w:rFonts w:hint="eastAsia"/>
        </w:rPr>
        <w:t xml:space="preserve">表 1 面向时序数据的治理与选择方法对比</w:t>
      </w:r>
    </w:p>
    <w:tbl>
      <w:tblPr>
        <w:tblW w:w="9978" w:type="dxa"/>
        <w:jc w:val="center"/>
        <w:tblBorders>
          <w:top w:val="single" w:sz="8" w:space="0" w:color="auto"/>
          <w:bottom w:val="single" w:sz="8" w:space="0" w:color="auto"/>
          <w:insideH w:val="single" w:sz="4" w:space="0" w:color="auto"/>
        </w:tblBorders>
        <w:tblLook w:val="04A0"/>
      </w:tblPr>
      <w:tblGrid>
        <w:gridCol w:w="1050"/>
        <w:gridCol w:w="980"/>
        <w:gridCol w:w="760"/>
        <w:gridCol w:w="860"/>
        <w:gridCol w:w="820"/>
        <w:gridCol w:w="700"/>
        <w:gridCol w:w="700"/>
      </w:tblGrid>
      <w:tr>
        <w:trPr>
          <w:tblHeader/>
          <w:jc w:val="center"/>
        </w:trPr>
        <w:tc>
          <w:tcPr>
            <w:tcW w:w="1050" w:type="dxa"/>
            <w:vAlign w:val="center"/>
          </w:tcPr>
          <w:p w14:paraId="30015445" w14:textId="77777777" w:rsidR="000545C4" w:rsidRDefault="00000000">
            <w:pPr>
              <w:jc w:val="center"/>
            </w:pPr>
            <w:r>
              <w:rPr>
                <w:rFonts w:hint="eastAsia"/>
                <w:b/>
                <w:bCs/>
              </w:rPr>
              <w:t xml:space="preserve">方法</w:t>
            </w:r>
          </w:p>
        </w:tc>
        <w:tc>
          <w:tcPr>
            <w:tcW w:w="980" w:type="dxa"/>
            <w:vAlign w:val="center"/>
          </w:tcPr>
          <w:p w14:paraId="30017334" w14:textId="77777777" w:rsidR="000545C4" w:rsidRDefault="00000000">
            <w:pPr>
              <w:jc w:val="center"/>
            </w:pPr>
            <w:r>
              <w:rPr>
                <w:rFonts w:hint="eastAsia"/>
                <w:b/>
                <w:bCs/>
              </w:rPr>
              <w:t xml:space="preserve">发表信息</w:t>
            </w:r>
          </w:p>
        </w:tc>
        <w:tc>
          <w:tcPr>
            <w:tcW w:w="760" w:type="dxa"/>
            <w:vAlign w:val="center"/>
          </w:tcPr>
          <w:p w14:paraId="30019223" w14:textId="77777777" w:rsidR="000545C4" w:rsidRDefault="00000000">
            <w:pPr>
              <w:jc w:val="center"/>
            </w:pPr>
            <w:r>
              <w:rPr>
                <w:rFonts w:hint="eastAsia"/>
                <w:b/>
                <w:bCs/>
              </w:rPr>
              <w:t xml:space="preserve">产出</w:t>
            </w:r>
          </w:p>
        </w:tc>
        <w:tc>
          <w:tcPr>
            <w:tcW w:w="860" w:type="dxa"/>
            <w:vAlign w:val="center"/>
          </w:tcPr>
          <w:p w14:paraId="3001B112" w14:textId="77777777" w:rsidR="000545C4" w:rsidRDefault="00000000">
            <w:pPr>
              <w:jc w:val="center"/>
            </w:pPr>
            <w:r>
              <w:rPr>
                <w:rFonts w:hint="eastAsia"/>
                <w:b/>
                <w:bCs/>
              </w:rPr>
              <w:t xml:space="preserve">策略来源</w:t>
            </w:r>
          </w:p>
        </w:tc>
        <w:tc>
          <w:tcPr>
            <w:tcW w:w="820" w:type="dxa"/>
            <w:vAlign w:val="center"/>
          </w:tcPr>
          <w:p w14:paraId="3001D001" w14:textId="77777777" w:rsidR="000545C4" w:rsidRDefault="00000000">
            <w:pPr>
              <w:jc w:val="center"/>
            </w:pPr>
            <w:r>
              <w:rPr>
                <w:rFonts w:hint="eastAsia"/>
                <w:b/>
                <w:bCs/>
              </w:rPr>
              <w:t xml:space="preserve">干预后重测</w:t>
            </w:r>
          </w:p>
        </w:tc>
        <w:tc>
          <w:tcPr>
            <w:tcW w:w="700" w:type="dxa"/>
            <w:vAlign w:val="center"/>
          </w:tcPr>
          <w:p w14:paraId="3001EEF0" w14:textId="77777777" w:rsidR="000545C4" w:rsidRDefault="00000000">
            <w:pPr>
              <w:jc w:val="center"/>
            </w:pPr>
            <w:r>
              <w:rPr>
                <w:rFonts w:hint="eastAsia"/>
                <w:b/>
                <w:bCs/>
              </w:rPr>
              <w:t xml:space="preserve">探索无损</w:t>
            </w:r>
          </w:p>
        </w:tc>
        <w:tc>
          <w:tcPr>
            <w:tcW w:w="700" w:type="dxa"/>
            <w:vAlign w:val="center"/>
          </w:tcPr>
          <w:p w14:paraId="30020DDF" w14:textId="77777777" w:rsidR="000545C4" w:rsidRDefault="00000000">
            <w:pPr>
              <w:jc w:val="center"/>
            </w:pPr>
            <w:r>
              <w:rPr>
                <w:rFonts w:hint="eastAsia"/>
                <w:b/>
                <w:bCs/>
              </w:rPr>
              <w:t xml:space="preserve">预算分配</w:t>
            </w:r>
          </w:p>
        </w:tc>
      </w:tr>
      <w:tr>
        <w:trPr>
          <w:jc w:val="center"/>
        </w:trPr>
        <w:tc>
          <w:tcPr>
            <w:tcW w:w="1050" w:type="dxa"/>
            <w:vAlign w:val="center"/>
          </w:tcPr>
          <w:p w14:paraId="30026AAC" w14:textId="77777777" w:rsidR="000545C4" w:rsidRDefault="00000000">
            <w:pPr>
              <w:jc w:val="center"/>
            </w:pPr>
            <w:r>
              <w:rPr>
                <w:rFonts w:hint="eastAsia"/>
              </w:rPr>
              <w:t xml:space="preserve">SCREEN</w:t>
            </w:r>
            <w:r>
              <w:rPr>
                <w:rFonts w:hint="eastAsia"/>
                <w:vertAlign w:val="superscript"/>
              </w:rPr>
              <w:t xml:space="preserve">[5]</w:t>
            </w:r>
          </w:p>
        </w:tc>
        <w:tc>
          <w:tcPr>
            <w:tcW w:w="980" w:type="dxa"/>
            <w:vAlign w:val="center"/>
          </w:tcPr>
          <w:p w14:paraId="3002899B" w14:textId="77777777" w:rsidR="000545C4" w:rsidRDefault="00000000">
            <w:pPr>
              <w:jc w:val="center"/>
            </w:pPr>
            <w:r>
              <w:rPr>
                <w:rFonts w:hint="eastAsia"/>
              </w:rPr>
              <w:t xml:space="preserve">SIGMOD 2015</w:t>
            </w:r>
          </w:p>
        </w:tc>
        <w:tc>
          <w:tcPr>
            <w:tcW w:w="760" w:type="dxa"/>
            <w:vAlign w:val="center"/>
          </w:tcPr>
          <w:p w14:paraId="3002A88A" w14:textId="77777777" w:rsidR="000545C4" w:rsidRDefault="00000000">
            <w:pPr>
              <w:jc w:val="center"/>
            </w:pPr>
            <w:r>
              <w:rPr>
                <w:rFonts w:hint="eastAsia"/>
              </w:rPr>
              <w:t xml:space="preserve">修复数据</w:t>
            </w:r>
          </w:p>
        </w:tc>
        <w:tc>
          <w:tcPr>
            <w:tcW w:w="860" w:type="dxa"/>
            <w:vAlign w:val="center"/>
          </w:tcPr>
          <w:p w14:paraId="3002C779" w14:textId="77777777" w:rsidR="000545C4" w:rsidRDefault="00000000">
            <w:pPr>
              <w:jc w:val="center"/>
            </w:pPr>
            <w:r>
              <w:rPr>
                <w:rFonts w:hint="eastAsia"/>
              </w:rPr>
              <w:t xml:space="preserve">固定规则</w:t>
            </w:r>
          </w:p>
        </w:tc>
        <w:tc>
          <w:tcPr>
            <w:tcW w:w="820" w:type="dxa"/>
            <w:vAlign w:val="center"/>
          </w:tcPr>
          <w:p w14:paraId="3002E668" w14:textId="77777777" w:rsidR="000545C4" w:rsidRDefault="00000000">
            <w:pPr>
              <w:jc w:val="center"/>
            </w:pPr>
            <w:r>
              <w:rPr>
                <w:rFonts w:hint="eastAsia"/>
              </w:rPr>
              <w:t xml:space="preserve">✕</w:t>
            </w:r>
          </w:p>
        </w:tc>
        <w:tc>
          <w:tcPr>
            <w:tcW w:w="700" w:type="dxa"/>
            <w:vAlign w:val="center"/>
          </w:tcPr>
          <w:p w14:paraId="30030557" w14:textId="77777777" w:rsidR="000545C4" w:rsidRDefault="00000000">
            <w:pPr>
              <w:jc w:val="center"/>
            </w:pPr>
            <w:r>
              <w:rPr>
                <w:rFonts w:hint="eastAsia"/>
              </w:rPr>
              <w:t xml:space="preserve">不适用</w:t>
            </w:r>
          </w:p>
        </w:tc>
        <w:tc>
          <w:tcPr>
            <w:tcW w:w="700" w:type="dxa"/>
            <w:vAlign w:val="center"/>
          </w:tcPr>
          <w:p w14:paraId="30032446" w14:textId="77777777" w:rsidR="000545C4" w:rsidRDefault="00000000">
            <w:pPr>
              <w:jc w:val="center"/>
            </w:pPr>
            <w:r>
              <w:rPr>
                <w:rFonts w:hint="eastAsia"/>
              </w:rPr>
              <w:t xml:space="preserve">✕</w:t>
            </w:r>
          </w:p>
        </w:tc>
      </w:tr>
      <w:tr>
        <w:trPr>
          <w:jc w:val="center"/>
        </w:trPr>
        <w:tc>
          <w:tcPr>
            <w:tcW w:w="1050" w:type="dxa"/>
            <w:vAlign w:val="center"/>
          </w:tcPr>
          <w:p w14:paraId="30038113" w14:textId="77777777" w:rsidR="000545C4" w:rsidRDefault="00000000">
            <w:pPr>
              <w:jc w:val="center"/>
            </w:pPr>
            <w:r>
              <w:rPr>
                <w:rFonts w:hint="eastAsia"/>
              </w:rPr>
              <w:t xml:space="preserve">IMR</w:t>
            </w:r>
            <w:r>
              <w:rPr>
                <w:rFonts w:hint="eastAsia"/>
                <w:vertAlign w:val="superscript"/>
              </w:rPr>
              <w:t xml:space="preserve">[6]</w:t>
            </w:r>
          </w:p>
        </w:tc>
        <w:tc>
          <w:tcPr>
            <w:tcW w:w="980" w:type="dxa"/>
            <w:vAlign w:val="center"/>
          </w:tcPr>
          <w:p w14:paraId="3003A002" w14:textId="77777777" w:rsidR="000545C4" w:rsidRDefault="00000000">
            <w:pPr>
              <w:jc w:val="center"/>
            </w:pPr>
            <w:r>
              <w:rPr>
                <w:rFonts w:hint="eastAsia"/>
              </w:rPr>
              <w:t xml:space="preserve">VLDB 2017</w:t>
            </w:r>
          </w:p>
        </w:tc>
        <w:tc>
          <w:tcPr>
            <w:tcW w:w="760" w:type="dxa"/>
            <w:vAlign w:val="center"/>
          </w:tcPr>
          <w:p w14:paraId="3003BEF1" w14:textId="77777777" w:rsidR="000545C4" w:rsidRDefault="00000000">
            <w:pPr>
              <w:jc w:val="center"/>
            </w:pPr>
            <w:r>
              <w:rPr>
                <w:rFonts w:hint="eastAsia"/>
              </w:rPr>
              <w:t xml:space="preserve">修复数据</w:t>
            </w:r>
          </w:p>
        </w:tc>
        <w:tc>
          <w:tcPr>
            <w:tcW w:w="860" w:type="dxa"/>
            <w:vAlign w:val="center"/>
          </w:tcPr>
          <w:p w14:paraId="3003DDE0" w14:textId="77777777" w:rsidR="000545C4" w:rsidRDefault="00000000">
            <w:pPr>
              <w:jc w:val="center"/>
            </w:pPr>
            <w:r>
              <w:rPr>
                <w:rFonts w:hint="eastAsia"/>
              </w:rPr>
              <w:t xml:space="preserve">固定规则</w:t>
            </w:r>
          </w:p>
        </w:tc>
        <w:tc>
          <w:tcPr>
            <w:tcW w:w="820" w:type="dxa"/>
            <w:vAlign w:val="center"/>
          </w:tcPr>
          <w:p w14:paraId="3003FCCF" w14:textId="77777777" w:rsidR="000545C4" w:rsidRDefault="00000000">
            <w:pPr>
              <w:jc w:val="center"/>
            </w:pPr>
            <w:r>
              <w:rPr>
                <w:rFonts w:hint="eastAsia"/>
              </w:rPr>
              <w:t xml:space="preserve">✕</w:t>
            </w:r>
          </w:p>
        </w:tc>
        <w:tc>
          <w:tcPr>
            <w:tcW w:w="700" w:type="dxa"/>
            <w:vAlign w:val="center"/>
          </w:tcPr>
          <w:p w14:paraId="30041BBE" w14:textId="77777777" w:rsidR="000545C4" w:rsidRDefault="00000000">
            <w:pPr>
              <w:jc w:val="center"/>
            </w:pPr>
            <w:r>
              <w:rPr>
                <w:rFonts w:hint="eastAsia"/>
              </w:rPr>
              <w:t xml:space="preserve">不适用</w:t>
            </w:r>
          </w:p>
        </w:tc>
        <w:tc>
          <w:tcPr>
            <w:tcW w:w="700" w:type="dxa"/>
            <w:vAlign w:val="center"/>
          </w:tcPr>
          <w:p w14:paraId="30043AAD" w14:textId="77777777" w:rsidR="000545C4" w:rsidRDefault="00000000">
            <w:pPr>
              <w:jc w:val="center"/>
            </w:pPr>
            <w:r>
              <w:rPr>
                <w:rFonts w:hint="eastAsia"/>
              </w:rPr>
              <w:t xml:space="preserve">✕</w:t>
            </w:r>
          </w:p>
        </w:tc>
      </w:tr>
      <w:tr>
        <w:trPr>
          <w:jc w:val="center"/>
        </w:trPr>
        <w:tc>
          <w:tcPr>
            <w:tcW w:w="1050" w:type="dxa"/>
            <w:vAlign w:val="center"/>
          </w:tcPr>
          <w:p w14:paraId="3004977A" w14:textId="77777777" w:rsidR="000545C4" w:rsidRDefault="00000000">
            <w:pPr>
              <w:jc w:val="center"/>
            </w:pPr>
            <w:r>
              <w:rPr>
                <w:rFonts w:hint="eastAsia"/>
              </w:rPr>
              <w:t xml:space="preserve">SpeedAcc</w:t>
            </w:r>
            <w:r>
              <w:rPr>
                <w:rFonts w:hint="eastAsia"/>
                <w:vertAlign w:val="superscript"/>
              </w:rPr>
              <w:t xml:space="preserve">[7]</w:t>
            </w:r>
          </w:p>
        </w:tc>
        <w:tc>
          <w:tcPr>
            <w:tcW w:w="980" w:type="dxa"/>
            <w:vAlign w:val="center"/>
          </w:tcPr>
          <w:p w14:paraId="3004B669" w14:textId="77777777" w:rsidR="000545C4" w:rsidRDefault="00000000">
            <w:pPr>
              <w:jc w:val="center"/>
            </w:pPr>
            <w:r>
              <w:rPr>
                <w:rFonts w:hint="eastAsia"/>
              </w:rPr>
              <w:t xml:space="preserve">TODS 2021</w:t>
            </w:r>
          </w:p>
        </w:tc>
        <w:tc>
          <w:tcPr>
            <w:tcW w:w="760" w:type="dxa"/>
            <w:vAlign w:val="center"/>
          </w:tcPr>
          <w:p w14:paraId="3004D558" w14:textId="77777777" w:rsidR="000545C4" w:rsidRDefault="00000000">
            <w:pPr>
              <w:jc w:val="center"/>
            </w:pPr>
            <w:r>
              <w:rPr>
                <w:rFonts w:hint="eastAsia"/>
              </w:rPr>
              <w:t xml:space="preserve">修复数据</w:t>
            </w:r>
          </w:p>
        </w:tc>
        <w:tc>
          <w:tcPr>
            <w:tcW w:w="860" w:type="dxa"/>
            <w:vAlign w:val="center"/>
          </w:tcPr>
          <w:p w14:paraId="3004F447" w14:textId="77777777" w:rsidR="000545C4" w:rsidRDefault="00000000">
            <w:pPr>
              <w:jc w:val="center"/>
            </w:pPr>
            <w:r>
              <w:rPr>
                <w:rFonts w:hint="eastAsia"/>
              </w:rPr>
              <w:t xml:space="preserve">固定规则</w:t>
            </w:r>
          </w:p>
        </w:tc>
        <w:tc>
          <w:tcPr>
            <w:tcW w:w="820" w:type="dxa"/>
            <w:vAlign w:val="center"/>
          </w:tcPr>
          <w:p w14:paraId="30051336" w14:textId="77777777" w:rsidR="000545C4" w:rsidRDefault="00000000">
            <w:pPr>
              <w:jc w:val="center"/>
            </w:pPr>
            <w:r>
              <w:rPr>
                <w:rFonts w:hint="eastAsia"/>
              </w:rPr>
              <w:t xml:space="preserve">✕</w:t>
            </w:r>
          </w:p>
        </w:tc>
        <w:tc>
          <w:tcPr>
            <w:tcW w:w="700" w:type="dxa"/>
            <w:vAlign w:val="center"/>
          </w:tcPr>
          <w:p w14:paraId="30053225" w14:textId="77777777" w:rsidR="000545C4" w:rsidRDefault="00000000">
            <w:pPr>
              <w:jc w:val="center"/>
            </w:pPr>
            <w:r>
              <w:rPr>
                <w:rFonts w:hint="eastAsia"/>
              </w:rPr>
              <w:t xml:space="preserve">不适用</w:t>
            </w:r>
          </w:p>
        </w:tc>
        <w:tc>
          <w:tcPr>
            <w:tcW w:w="700" w:type="dxa"/>
            <w:vAlign w:val="center"/>
          </w:tcPr>
          <w:p w14:paraId="30055114" w14:textId="77777777" w:rsidR="000545C4" w:rsidRDefault="00000000">
            <w:pPr>
              <w:jc w:val="center"/>
            </w:pPr>
            <w:r>
              <w:rPr>
                <w:rFonts w:hint="eastAsia"/>
              </w:rPr>
              <w:t xml:space="preserve">✕</w:t>
            </w:r>
          </w:p>
        </w:tc>
      </w:tr>
      <w:tr>
        <w:trPr>
          <w:jc w:val="center"/>
        </w:trPr>
        <w:tc>
          <w:tcPr>
            <w:tcW w:w="1050" w:type="dxa"/>
            <w:vAlign w:val="center"/>
          </w:tcPr>
          <w:p w14:paraId="3005ADE1" w14:textId="77777777" w:rsidR="000545C4" w:rsidRDefault="00000000">
            <w:pPr>
              <w:jc w:val="center"/>
            </w:pPr>
            <w:r>
              <w:rPr>
                <w:rFonts w:hint="eastAsia"/>
              </w:rPr>
              <w:t xml:space="preserve">MTCSC</w:t>
            </w:r>
            <w:r>
              <w:rPr>
                <w:rFonts w:hint="eastAsia"/>
                <w:vertAlign w:val="superscript"/>
              </w:rPr>
              <w:t xml:space="preserve">[8]</w:t>
            </w:r>
          </w:p>
        </w:tc>
        <w:tc>
          <w:tcPr>
            <w:tcW w:w="980" w:type="dxa"/>
            <w:vAlign w:val="center"/>
          </w:tcPr>
          <w:p w14:paraId="3005CCD0" w14:textId="77777777" w:rsidR="000545C4" w:rsidRDefault="00000000">
            <w:pPr>
              <w:jc w:val="center"/>
            </w:pPr>
            <w:r>
              <w:rPr>
                <w:rFonts w:hint="eastAsia"/>
              </w:rPr>
              <w:t xml:space="preserve">SIGMOD 2024</w:t>
            </w:r>
          </w:p>
        </w:tc>
        <w:tc>
          <w:tcPr>
            <w:tcW w:w="760" w:type="dxa"/>
            <w:vAlign w:val="center"/>
          </w:tcPr>
          <w:p w14:paraId="3005EBBF" w14:textId="77777777" w:rsidR="000545C4" w:rsidRDefault="00000000">
            <w:pPr>
              <w:jc w:val="center"/>
            </w:pPr>
            <w:r>
              <w:rPr>
                <w:rFonts w:hint="eastAsia"/>
              </w:rPr>
              <w:t xml:space="preserve">修复数据</w:t>
            </w:r>
          </w:p>
        </w:tc>
        <w:tc>
          <w:tcPr>
            <w:tcW w:w="860" w:type="dxa"/>
            <w:vAlign w:val="center"/>
          </w:tcPr>
          <w:p w14:paraId="30060AAE" w14:textId="77777777" w:rsidR="000545C4" w:rsidRDefault="00000000">
            <w:pPr>
              <w:jc w:val="center"/>
            </w:pPr>
            <w:r>
              <w:rPr>
                <w:rFonts w:hint="eastAsia"/>
              </w:rPr>
              <w:t xml:space="preserve">固定规则</w:t>
            </w:r>
          </w:p>
        </w:tc>
        <w:tc>
          <w:tcPr>
            <w:tcW w:w="820" w:type="dxa"/>
            <w:vAlign w:val="center"/>
          </w:tcPr>
          <w:p w14:paraId="3006299D" w14:textId="77777777" w:rsidR="000545C4" w:rsidRDefault="00000000">
            <w:pPr>
              <w:jc w:val="center"/>
            </w:pPr>
            <w:r>
              <w:rPr>
                <w:rFonts w:hint="eastAsia"/>
              </w:rPr>
              <w:t xml:space="preserve">✕</w:t>
            </w:r>
          </w:p>
        </w:tc>
        <w:tc>
          <w:tcPr>
            <w:tcW w:w="700" w:type="dxa"/>
            <w:vAlign w:val="center"/>
          </w:tcPr>
          <w:p w14:paraId="3006488C" w14:textId="77777777" w:rsidR="000545C4" w:rsidRDefault="00000000">
            <w:pPr>
              <w:jc w:val="center"/>
            </w:pPr>
            <w:r>
              <w:rPr>
                <w:rFonts w:hint="eastAsia"/>
              </w:rPr>
              <w:t xml:space="preserve">不适用</w:t>
            </w:r>
          </w:p>
        </w:tc>
        <w:tc>
          <w:tcPr>
            <w:tcW w:w="700" w:type="dxa"/>
            <w:vAlign w:val="center"/>
          </w:tcPr>
          <w:p w14:paraId="3006677B" w14:textId="77777777" w:rsidR="000545C4" w:rsidRDefault="00000000">
            <w:pPr>
              <w:jc w:val="center"/>
            </w:pPr>
            <w:r>
              <w:rPr>
                <w:rFonts w:hint="eastAsia"/>
              </w:rPr>
              <w:t xml:space="preserve">✕</w:t>
            </w:r>
          </w:p>
        </w:tc>
      </w:tr>
      <w:tr>
        <w:trPr>
          <w:jc w:val="center"/>
        </w:trPr>
        <w:tc>
          <w:tcPr>
            <w:tcW w:w="1050" w:type="dxa"/>
            <w:vAlign w:val="center"/>
          </w:tcPr>
          <w:p w14:paraId="3006C448" w14:textId="77777777" w:rsidR="000545C4" w:rsidRDefault="00000000">
            <w:pPr>
              <w:jc w:val="center"/>
            </w:pPr>
            <w:r>
              <w:rPr>
                <w:rFonts w:hint="eastAsia"/>
              </w:rPr>
              <w:t xml:space="preserve">Data Shapley</w:t>
            </w:r>
            <w:r>
              <w:rPr>
                <w:rFonts w:hint="eastAsia"/>
                <w:vertAlign w:val="superscript"/>
              </w:rPr>
              <w:t xml:space="preserve">[9]</w:t>
            </w:r>
          </w:p>
        </w:tc>
        <w:tc>
          <w:tcPr>
            <w:tcW w:w="980" w:type="dxa"/>
            <w:vAlign w:val="center"/>
          </w:tcPr>
          <w:p w14:paraId="3006E337" w14:textId="77777777" w:rsidR="000545C4" w:rsidRDefault="00000000">
            <w:pPr>
              <w:jc w:val="center"/>
            </w:pPr>
            <w:r>
              <w:rPr>
                <w:rFonts w:hint="eastAsia"/>
              </w:rPr>
              <w:t xml:space="preserve">ICML 2019</w:t>
            </w:r>
          </w:p>
        </w:tc>
        <w:tc>
          <w:tcPr>
            <w:tcW w:w="760" w:type="dxa"/>
            <w:vAlign w:val="center"/>
          </w:tcPr>
          <w:p w14:paraId="30070226" w14:textId="77777777" w:rsidR="000545C4" w:rsidRDefault="00000000">
            <w:pPr>
              <w:jc w:val="center"/>
            </w:pPr>
            <w:r>
              <w:rPr>
                <w:rFonts w:hint="eastAsia"/>
              </w:rPr>
              <w:t xml:space="preserve">样本分数</w:t>
            </w:r>
          </w:p>
        </w:tc>
        <w:tc>
          <w:tcPr>
            <w:tcW w:w="860" w:type="dxa"/>
            <w:vAlign w:val="center"/>
          </w:tcPr>
          <w:p w14:paraId="30072115" w14:textId="77777777" w:rsidR="000545C4" w:rsidRDefault="00000000">
            <w:pPr>
              <w:jc w:val="center"/>
            </w:pPr>
            <w:r>
              <w:rPr>
                <w:rFonts w:hint="eastAsia"/>
              </w:rPr>
              <w:t xml:space="preserve">不适用</w:t>
            </w:r>
          </w:p>
        </w:tc>
        <w:tc>
          <w:tcPr>
            <w:tcW w:w="820" w:type="dxa"/>
            <w:vAlign w:val="center"/>
          </w:tcPr>
          <w:p w14:paraId="30074004" w14:textId="77777777" w:rsidR="000545C4" w:rsidRDefault="00000000">
            <w:pPr>
              <w:jc w:val="center"/>
            </w:pPr>
            <w:r>
              <w:rPr>
                <w:rFonts w:hint="eastAsia"/>
              </w:rPr>
              <w:t xml:space="preserve">✕</w:t>
            </w:r>
          </w:p>
        </w:tc>
        <w:tc>
          <w:tcPr>
            <w:tcW w:w="700" w:type="dxa"/>
            <w:vAlign w:val="center"/>
          </w:tcPr>
          <w:p w14:paraId="30075EF3" w14:textId="77777777" w:rsidR="000545C4" w:rsidRDefault="00000000">
            <w:pPr>
              <w:jc w:val="center"/>
            </w:pPr>
            <w:r>
              <w:rPr>
                <w:rFonts w:hint="eastAsia"/>
              </w:rPr>
              <w:t xml:space="preserve">不适用</w:t>
            </w:r>
          </w:p>
        </w:tc>
        <w:tc>
          <w:tcPr>
            <w:tcW w:w="700" w:type="dxa"/>
            <w:vAlign w:val="center"/>
          </w:tcPr>
          <w:p w14:paraId="30077DE2" w14:textId="77777777" w:rsidR="000545C4" w:rsidRDefault="00000000">
            <w:pPr>
              <w:jc w:val="center"/>
            </w:pPr>
            <w:r>
              <w:rPr>
                <w:rFonts w:hint="eastAsia"/>
              </w:rPr>
              <w:t xml:space="preserve">✕</w:t>
            </w:r>
          </w:p>
        </w:tc>
      </w:tr>
      <w:tr>
        <w:trPr>
          <w:jc w:val="center"/>
        </w:trPr>
        <w:tc>
          <w:tcPr>
            <w:tcW w:w="1050" w:type="dxa"/>
            <w:vAlign w:val="center"/>
          </w:tcPr>
          <w:p w14:paraId="3007DAAF" w14:textId="77777777" w:rsidR="000545C4" w:rsidRDefault="00000000">
            <w:pPr>
              <w:jc w:val="center"/>
            </w:pPr>
            <w:r>
              <w:rPr>
                <w:rFonts w:hint="eastAsia"/>
              </w:rPr>
              <w:t xml:space="preserve">Data-OOB</w:t>
            </w:r>
            <w:r>
              <w:rPr>
                <w:rFonts w:hint="eastAsia"/>
                <w:vertAlign w:val="superscript"/>
              </w:rPr>
              <w:t xml:space="preserve">[10]</w:t>
            </w:r>
          </w:p>
        </w:tc>
        <w:tc>
          <w:tcPr>
            <w:tcW w:w="980" w:type="dxa"/>
            <w:vAlign w:val="center"/>
          </w:tcPr>
          <w:p w14:paraId="3007F99E" w14:textId="77777777" w:rsidR="000545C4" w:rsidRDefault="00000000">
            <w:pPr>
              <w:jc w:val="center"/>
            </w:pPr>
            <w:r>
              <w:rPr>
                <w:rFonts w:hint="eastAsia"/>
              </w:rPr>
              <w:t xml:space="preserve">ICML 2023</w:t>
            </w:r>
          </w:p>
        </w:tc>
        <w:tc>
          <w:tcPr>
            <w:tcW w:w="760" w:type="dxa"/>
            <w:vAlign w:val="center"/>
          </w:tcPr>
          <w:p w14:paraId="3008188D" w14:textId="77777777" w:rsidR="000545C4" w:rsidRDefault="00000000">
            <w:pPr>
              <w:jc w:val="center"/>
            </w:pPr>
            <w:r>
              <w:rPr>
                <w:rFonts w:hint="eastAsia"/>
              </w:rPr>
              <w:t xml:space="preserve">样本分数</w:t>
            </w:r>
          </w:p>
        </w:tc>
        <w:tc>
          <w:tcPr>
            <w:tcW w:w="860" w:type="dxa"/>
            <w:vAlign w:val="center"/>
          </w:tcPr>
          <w:p w14:paraId="3008377C" w14:textId="77777777" w:rsidR="000545C4" w:rsidRDefault="00000000">
            <w:pPr>
              <w:jc w:val="center"/>
            </w:pPr>
            <w:r>
              <w:rPr>
                <w:rFonts w:hint="eastAsia"/>
              </w:rPr>
              <w:t xml:space="preserve">不适用</w:t>
            </w:r>
          </w:p>
        </w:tc>
        <w:tc>
          <w:tcPr>
            <w:tcW w:w="820" w:type="dxa"/>
            <w:vAlign w:val="center"/>
          </w:tcPr>
          <w:p w14:paraId="3008566B" w14:textId="77777777" w:rsidR="000545C4" w:rsidRDefault="00000000">
            <w:pPr>
              <w:jc w:val="center"/>
            </w:pPr>
            <w:r>
              <w:rPr>
                <w:rFonts w:hint="eastAsia"/>
              </w:rPr>
              <w:t xml:space="preserve">✕</w:t>
            </w:r>
          </w:p>
        </w:tc>
        <w:tc>
          <w:tcPr>
            <w:tcW w:w="700" w:type="dxa"/>
            <w:vAlign w:val="center"/>
          </w:tcPr>
          <w:p w14:paraId="3008755A" w14:textId="77777777" w:rsidR="000545C4" w:rsidRDefault="00000000">
            <w:pPr>
              <w:jc w:val="center"/>
            </w:pPr>
            <w:r>
              <w:rPr>
                <w:rFonts w:hint="eastAsia"/>
              </w:rPr>
              <w:t xml:space="preserve">不适用</w:t>
            </w:r>
          </w:p>
        </w:tc>
        <w:tc>
          <w:tcPr>
            <w:tcW w:w="700" w:type="dxa"/>
            <w:vAlign w:val="center"/>
          </w:tcPr>
          <w:p w14:paraId="30089449" w14:textId="77777777" w:rsidR="000545C4" w:rsidRDefault="00000000">
            <w:pPr>
              <w:jc w:val="center"/>
            </w:pPr>
            <w:r>
              <w:rPr>
                <w:rFonts w:hint="eastAsia"/>
              </w:rPr>
              <w:t xml:space="preserve">✕</w:t>
            </w:r>
          </w:p>
        </w:tc>
      </w:tr>
      <w:tr>
        <w:trPr>
          <w:jc w:val="center"/>
        </w:trPr>
        <w:tc>
          <w:tcPr>
            <w:tcW w:w="1050" w:type="dxa"/>
            <w:vAlign w:val="center"/>
          </w:tcPr>
          <w:p w14:paraId="3008F116" w14:textId="77777777" w:rsidR="000545C4" w:rsidRDefault="00000000">
            <w:pPr>
              <w:jc w:val="center"/>
            </w:pPr>
            <w:r>
              <w:rPr>
                <w:rFonts w:hint="eastAsia"/>
              </w:rPr>
              <w:t xml:space="preserve">TimeInf</w:t>
            </w:r>
            <w:r>
              <w:rPr>
                <w:rFonts w:hint="eastAsia"/>
                <w:vertAlign w:val="superscript"/>
              </w:rPr>
              <w:t xml:space="preserve">[11]</w:t>
            </w:r>
          </w:p>
        </w:tc>
        <w:tc>
          <w:tcPr>
            <w:tcW w:w="980" w:type="dxa"/>
            <w:vAlign w:val="center"/>
          </w:tcPr>
          <w:p w14:paraId="30091005" w14:textId="77777777" w:rsidR="000545C4" w:rsidRDefault="00000000">
            <w:pPr>
              <w:jc w:val="center"/>
            </w:pPr>
            <w:r>
              <w:rPr>
                <w:rFonts w:hint="eastAsia"/>
              </w:rPr>
              <w:t xml:space="preserve">ICLR 2025</w:t>
            </w:r>
          </w:p>
        </w:tc>
        <w:tc>
          <w:tcPr>
            <w:tcW w:w="760" w:type="dxa"/>
            <w:vAlign w:val="center"/>
          </w:tcPr>
          <w:p w14:paraId="30092EF4" w14:textId="77777777" w:rsidR="000545C4" w:rsidRDefault="00000000">
            <w:pPr>
              <w:jc w:val="center"/>
            </w:pPr>
            <w:r>
              <w:rPr>
                <w:rFonts w:hint="eastAsia"/>
              </w:rPr>
              <w:t xml:space="preserve">样本分数</w:t>
            </w:r>
          </w:p>
        </w:tc>
        <w:tc>
          <w:tcPr>
            <w:tcW w:w="860" w:type="dxa"/>
            <w:vAlign w:val="center"/>
          </w:tcPr>
          <w:p w14:paraId="30094DE3" w14:textId="77777777" w:rsidR="000545C4" w:rsidRDefault="00000000">
            <w:pPr>
              <w:jc w:val="center"/>
            </w:pPr>
            <w:r>
              <w:rPr>
                <w:rFonts w:hint="eastAsia"/>
              </w:rPr>
              <w:t xml:space="preserve">不适用</w:t>
            </w:r>
          </w:p>
        </w:tc>
        <w:tc>
          <w:tcPr>
            <w:tcW w:w="820" w:type="dxa"/>
            <w:vAlign w:val="center"/>
          </w:tcPr>
          <w:p w14:paraId="30096CD2" w14:textId="77777777" w:rsidR="000545C4" w:rsidRDefault="00000000">
            <w:pPr>
              <w:jc w:val="center"/>
            </w:pPr>
            <w:r>
              <w:rPr>
                <w:rFonts w:hint="eastAsia"/>
              </w:rPr>
              <w:t xml:space="preserve">✕</w:t>
            </w:r>
          </w:p>
        </w:tc>
        <w:tc>
          <w:tcPr>
            <w:tcW w:w="700" w:type="dxa"/>
            <w:vAlign w:val="center"/>
          </w:tcPr>
          <w:p w14:paraId="30098BC1" w14:textId="77777777" w:rsidR="000545C4" w:rsidRDefault="00000000">
            <w:pPr>
              <w:jc w:val="center"/>
            </w:pPr>
            <w:r>
              <w:rPr>
                <w:rFonts w:hint="eastAsia"/>
              </w:rPr>
              <w:t xml:space="preserve">不适用</w:t>
            </w:r>
          </w:p>
        </w:tc>
        <w:tc>
          <w:tcPr>
            <w:tcW w:w="700" w:type="dxa"/>
            <w:vAlign w:val="center"/>
          </w:tcPr>
          <w:p w14:paraId="3009AAB0" w14:textId="77777777" w:rsidR="000545C4" w:rsidRDefault="00000000">
            <w:pPr>
              <w:jc w:val="center"/>
            </w:pPr>
            <w:r>
              <w:rPr>
                <w:rFonts w:hint="eastAsia"/>
              </w:rPr>
              <w:t xml:space="preserve">✕</w:t>
            </w:r>
          </w:p>
        </w:tc>
      </w:tr>
      <w:tr>
        <w:trPr>
          <w:jc w:val="center"/>
        </w:trPr>
        <w:tc>
          <w:tcPr>
            <w:tcW w:w="1050" w:type="dxa"/>
            <w:vAlign w:val="center"/>
          </w:tcPr>
          <w:p w14:paraId="300A077D" w14:textId="77777777" w:rsidR="000545C4" w:rsidRDefault="00000000">
            <w:pPr>
              <w:jc w:val="center"/>
            </w:pPr>
            <w:r>
              <w:rPr>
                <w:rFonts w:hint="eastAsia"/>
              </w:rPr>
              <w:t xml:space="preserve">TSRating</w:t>
            </w:r>
            <w:r>
              <w:rPr>
                <w:rFonts w:hint="eastAsia"/>
                <w:vertAlign w:val="superscript"/>
              </w:rPr>
              <w:t xml:space="preserve">[12]</w:t>
            </w:r>
          </w:p>
        </w:tc>
        <w:tc>
          <w:tcPr>
            <w:tcW w:w="980" w:type="dxa"/>
            <w:vAlign w:val="center"/>
          </w:tcPr>
          <w:p w14:paraId="300A266C" w14:textId="77777777" w:rsidR="000545C4" w:rsidRDefault="00000000">
            <w:pPr>
              <w:jc w:val="center"/>
            </w:pPr>
            <w:r>
              <w:rPr>
                <w:rFonts w:hint="eastAsia"/>
              </w:rPr>
              <w:t xml:space="preserve">ICLR 2026</w:t>
            </w:r>
          </w:p>
        </w:tc>
        <w:tc>
          <w:tcPr>
            <w:tcW w:w="760" w:type="dxa"/>
            <w:vAlign w:val="center"/>
          </w:tcPr>
          <w:p w14:paraId="300A455B" w14:textId="77777777" w:rsidR="000545C4" w:rsidRDefault="00000000">
            <w:pPr>
              <w:jc w:val="center"/>
            </w:pPr>
            <w:r>
              <w:rPr>
                <w:rFonts w:hint="eastAsia"/>
              </w:rPr>
              <w:t xml:space="preserve">样本分数</w:t>
            </w:r>
          </w:p>
        </w:tc>
        <w:tc>
          <w:tcPr>
            <w:tcW w:w="860" w:type="dxa"/>
            <w:vAlign w:val="center"/>
          </w:tcPr>
          <w:p w14:paraId="300A644A" w14:textId="77777777" w:rsidR="000545C4" w:rsidRDefault="00000000">
            <w:pPr>
              <w:jc w:val="center"/>
            </w:pPr>
            <w:r>
              <w:rPr>
                <w:rFonts w:hint="eastAsia"/>
              </w:rPr>
              <w:t xml:space="preserve">元学习</w:t>
            </w:r>
          </w:p>
        </w:tc>
        <w:tc>
          <w:tcPr>
            <w:tcW w:w="820" w:type="dxa"/>
            <w:vAlign w:val="center"/>
          </w:tcPr>
          <w:p w14:paraId="300A8339" w14:textId="77777777" w:rsidR="000545C4" w:rsidRDefault="00000000">
            <w:pPr>
              <w:jc w:val="center"/>
            </w:pPr>
            <w:r>
              <w:rPr>
                <w:rFonts w:hint="eastAsia"/>
              </w:rPr>
              <w:t xml:space="preserve">✕</w:t>
            </w:r>
          </w:p>
        </w:tc>
        <w:tc>
          <w:tcPr>
            <w:tcW w:w="700" w:type="dxa"/>
            <w:vAlign w:val="center"/>
          </w:tcPr>
          <w:p w14:paraId="300AA228" w14:textId="77777777" w:rsidR="000545C4" w:rsidRDefault="00000000">
            <w:pPr>
              <w:jc w:val="center"/>
            </w:pPr>
            <w:r>
              <w:rPr>
                <w:rFonts w:hint="eastAsia"/>
              </w:rPr>
              <w:t xml:space="preserve">不适用</w:t>
            </w:r>
          </w:p>
        </w:tc>
        <w:tc>
          <w:tcPr>
            <w:tcW w:w="700" w:type="dxa"/>
            <w:vAlign w:val="center"/>
          </w:tcPr>
          <w:p w14:paraId="300AC117" w14:textId="77777777" w:rsidR="000545C4" w:rsidRDefault="00000000">
            <w:pPr>
              <w:jc w:val="center"/>
            </w:pPr>
            <w:r>
              <w:rPr>
                <w:rFonts w:hint="eastAsia"/>
              </w:rPr>
              <w:t xml:space="preserve">✕</w:t>
            </w:r>
          </w:p>
        </w:tc>
      </w:tr>
      <w:tr>
        <w:trPr>
          <w:jc w:val="center"/>
        </w:trPr>
        <w:tc>
          <w:tcPr>
            <w:tcW w:w="1050" w:type="dxa"/>
            <w:vAlign w:val="center"/>
          </w:tcPr>
          <w:p w14:paraId="300B1DE4" w14:textId="77777777" w:rsidR="000545C4" w:rsidRDefault="00000000">
            <w:pPr>
              <w:jc w:val="center"/>
            </w:pPr>
            <w:r>
              <w:rPr>
                <w:rFonts w:hint="eastAsia"/>
              </w:rPr>
              <w:t xml:space="preserve">清洗智能体</w:t>
            </w:r>
            <w:r>
              <w:rPr>
                <w:rFonts w:hint="eastAsia"/>
                <w:vertAlign w:val="superscript"/>
              </w:rPr>
              <w:t xml:space="preserve">[13]</w:t>
            </w:r>
          </w:p>
        </w:tc>
        <w:tc>
          <w:tcPr>
            <w:tcW w:w="980" w:type="dxa"/>
            <w:vAlign w:val="center"/>
          </w:tcPr>
          <w:p w14:paraId="300B3CD3" w14:textId="77777777" w:rsidR="000545C4" w:rsidRDefault="00000000">
            <w:pPr>
              <w:jc w:val="center"/>
            </w:pPr>
            <w:r>
              <w:rPr>
                <w:rFonts w:hint="eastAsia"/>
              </w:rPr>
              <w:t xml:space="preserve">预印本</w:t>
            </w:r>
          </w:p>
        </w:tc>
        <w:tc>
          <w:tcPr>
            <w:tcW w:w="760" w:type="dxa"/>
            <w:vAlign w:val="center"/>
          </w:tcPr>
          <w:p w14:paraId="300B5BC2" w14:textId="77777777" w:rsidR="000545C4" w:rsidRDefault="00000000">
            <w:pPr>
              <w:jc w:val="center"/>
            </w:pPr>
            <w:r>
              <w:rPr>
                <w:rFonts w:hint="eastAsia"/>
              </w:rPr>
              <w:t xml:space="preserve">修复数据</w:t>
            </w:r>
          </w:p>
        </w:tc>
        <w:tc>
          <w:tcPr>
            <w:tcW w:w="860" w:type="dxa"/>
            <w:vAlign w:val="center"/>
          </w:tcPr>
          <w:p w14:paraId="300B7AB1" w14:textId="77777777" w:rsidR="000545C4" w:rsidRDefault="00000000">
            <w:pPr>
              <w:jc w:val="center"/>
            </w:pPr>
            <w:r>
              <w:rPr>
                <w:rFonts w:hint="eastAsia"/>
              </w:rPr>
              <w:t xml:space="preserve">强化学习</w:t>
            </w:r>
          </w:p>
        </w:tc>
        <w:tc>
          <w:tcPr>
            <w:tcW w:w="820" w:type="dxa"/>
            <w:vAlign w:val="center"/>
          </w:tcPr>
          <w:p w14:paraId="300B99A0" w14:textId="77777777" w:rsidR="000545C4" w:rsidRDefault="00000000">
            <w:pPr>
              <w:jc w:val="center"/>
            </w:pPr>
            <w:r>
              <w:rPr>
                <w:rFonts w:hint="eastAsia"/>
              </w:rPr>
              <w:t xml:space="preserve">✕</w:t>
            </w:r>
          </w:p>
        </w:tc>
        <w:tc>
          <w:tcPr>
            <w:tcW w:w="700" w:type="dxa"/>
            <w:vAlign w:val="center"/>
          </w:tcPr>
          <w:p w14:paraId="300BB88F" w14:textId="77777777" w:rsidR="000545C4" w:rsidRDefault="00000000">
            <w:pPr>
              <w:jc w:val="center"/>
            </w:pPr>
            <w:r>
              <w:rPr>
                <w:rFonts w:hint="eastAsia"/>
              </w:rPr>
              <w:t xml:space="preserve">✕</w:t>
            </w:r>
          </w:p>
        </w:tc>
        <w:tc>
          <w:tcPr>
            <w:tcW w:w="700" w:type="dxa"/>
            <w:vAlign w:val="center"/>
          </w:tcPr>
          <w:p w14:paraId="300BD77E" w14:textId="77777777" w:rsidR="000545C4" w:rsidRDefault="00000000">
            <w:pPr>
              <w:jc w:val="center"/>
            </w:pPr>
            <w:r>
              <w:rPr>
                <w:rFonts w:hint="eastAsia"/>
              </w:rPr>
              <w:t xml:space="preserve">✕</w:t>
            </w:r>
          </w:p>
        </w:tc>
      </w:tr>
      <w:tr>
        <w:trPr>
          <w:jc w:val="center"/>
        </w:trPr>
        <w:tc>
          <w:tcPr>
            <w:tcW w:w="1050" w:type="dxa"/>
            <w:vAlign w:val="center"/>
          </w:tcPr>
          <w:p w14:paraId="300C344B" w14:textId="77777777" w:rsidR="000545C4" w:rsidRDefault="00000000">
            <w:pPr>
              <w:jc w:val="center"/>
            </w:pPr>
            <w:r>
              <w:rPr>
                <w:rFonts w:hint="eastAsia"/>
              </w:rPr>
              <w:t xml:space="preserve">IntroAct-TS</w:t>
            </w:r>
          </w:p>
        </w:tc>
        <w:tc>
          <w:tcPr>
            <w:tcW w:w="980" w:type="dxa"/>
            <w:vAlign w:val="center"/>
          </w:tcPr>
          <w:p w14:paraId="300C533A" w14:textId="77777777" w:rsidR="000545C4" w:rsidRDefault="00000000">
            <w:pPr>
              <w:jc w:val="center"/>
            </w:pPr>
            <w:r>
              <w:rPr>
                <w:rFonts w:hint="eastAsia"/>
              </w:rPr>
              <w:t xml:space="preserve">本文</w:t>
            </w:r>
          </w:p>
        </w:tc>
        <w:tc>
          <w:tcPr>
            <w:tcW w:w="760" w:type="dxa"/>
            <w:vAlign w:val="center"/>
          </w:tcPr>
          <w:p w14:paraId="300C7229" w14:textId="77777777" w:rsidR="000545C4" w:rsidRDefault="00000000">
            <w:pPr>
              <w:jc w:val="center"/>
            </w:pPr>
            <w:r>
              <w:rPr>
                <w:rFonts w:hint="eastAsia"/>
              </w:rPr>
              <w:t xml:space="preserve">修复数据</w:t>
            </w:r>
          </w:p>
        </w:tc>
        <w:tc>
          <w:tcPr>
            <w:tcW w:w="860" w:type="dxa"/>
            <w:vAlign w:val="center"/>
          </w:tcPr>
          <w:p w14:paraId="300C9118" w14:textId="77777777" w:rsidR="000545C4" w:rsidRDefault="00000000">
            <w:pPr>
              <w:jc w:val="center"/>
            </w:pPr>
            <w:r>
              <w:rPr>
                <w:rFonts w:hint="eastAsia"/>
              </w:rPr>
              <w:t xml:space="preserve">屏蔽强化学习</w:t>
            </w:r>
          </w:p>
        </w:tc>
        <w:tc>
          <w:tcPr>
            <w:tcW w:w="820" w:type="dxa"/>
            <w:vAlign w:val="center"/>
          </w:tcPr>
          <w:p w14:paraId="300CB007" w14:textId="77777777" w:rsidR="000545C4" w:rsidRDefault="00000000">
            <w:pPr>
              <w:jc w:val="center"/>
            </w:pPr>
            <w:r>
              <w:rPr>
                <w:rFonts w:hint="eastAsia"/>
              </w:rPr>
              <w:t xml:space="preserve">✔</w:t>
            </w:r>
          </w:p>
        </w:tc>
        <w:tc>
          <w:tcPr>
            <w:tcW w:w="700" w:type="dxa"/>
            <w:vAlign w:val="center"/>
          </w:tcPr>
          <w:p w14:paraId="300CCEF6" w14:textId="77777777" w:rsidR="000545C4" w:rsidRDefault="00000000">
            <w:pPr>
              <w:jc w:val="center"/>
            </w:pPr>
            <w:r>
              <w:rPr>
                <w:rFonts w:hint="eastAsia"/>
              </w:rPr>
              <w:t xml:space="preserve">✔</w:t>
            </w:r>
          </w:p>
        </w:tc>
        <w:tc>
          <w:tcPr>
            <w:tcW w:w="700" w:type="dxa"/>
            <w:vAlign w:val="center"/>
          </w:tcPr>
          <w:p w14:paraId="300CEDE5" w14:textId="77777777" w:rsidR="000545C4" w:rsidRDefault="00000000">
            <w:pPr>
              <w:jc w:val="center"/>
            </w:pPr>
            <w:r>
              <w:rPr>
                <w:rFonts w:hint="eastAsia"/>
              </w:rPr>
              <w:t xml:space="preserve">✔</w:t>
            </w:r>
          </w:p>
        </w:tc>
      </w:tr>
    </w:tbl>
    <w:p w14:paraId="300D4AB2" w14:textId="77777777" w:rsidR="000545C4" w:rsidRDefault="00000000">
      <w:pPr/>
    </w:p>
    <w:p w14:paraId="300D69A1" w14:textId="77777777" w:rsidR="000545C4" w:rsidRDefault="00000000">
      <w:pPr>
        <w:ind w:firstLineChars="200" w:firstLine="420"/>
      </w:pPr>
      <w:r>
        <w:rPr>
          <w:rFonts w:hint="eastAsia"/>
        </w:rPr>
        <w:t xml:space="preserve">表 1 中的方法沿两条路线展开。修复式清洗依据速度约束[5,7]、自回归残差[6]或跨维度相关性[8]直接改写取值，近期出现了用强化学习编排清洗算子的尝试[13]。打分式选择用博弈论估值[9,10]、影响函数[11]或外部模型判断[12]给样本排序，再按分数保留或丢弃。两条路线各自成熟，在本文关心的问题上都留下了缺口。表中的干预后重测一列记录方法是否在动作执行之后重新测量其效果，探索无损一列记录训练期间的错误尝试是否会留在语料上，预算分配一列记录方法能否在语料内部分配有限的计算开销。</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第一重挑战是安全规则无法事先写定。同一个算子带同样的参数施加到两个窗口上，可能修好其中一个而毁掉另一个，结果取决于窗口里原本承载的结构。只关于算子与参数的规则无法把这两种情形分开，由专家书写谓词的运行时强制路线[14]因而在本场景中无法直接套用。</w:t>
      </w:r>
    </w:p>
    <w:p w14:paraId="300E044C" w14:textId="77777777" w:rsidR="000545C4" w:rsidRDefault="00000000">
      <w:pPr>
        <w:ind w:firstLineChars="200" w:firstLine="420"/>
      </w:pPr>
      <w:r>
        <w:rPr>
          <w:rFonts w:hint="eastAsia"/>
          <w:b/>
          <w:bCs/>
        </w:rPr>
        <w:t xml:space="preserve">第二重挑战是可用作奖励的信号本身带有偏差。有害与否只能从效果读出，而能报告效果的仪器只有目标模型。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第三重挑战是试错的代价落在语料上。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本文余下部分的结构是，第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在策略的具体形式上，本文的决策序列很短，多数窗口在一到三步内结束，状态经过特征提取后维度不高，动作集合规模有限。这样的设定接近上下文老虎机，与长程决策问题有明显距离。上下文老虎机在线性收益假设下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治理决策建立在四个基础概念之上。模型效用与时序结构保真度提供判据所需的两类读数，屏蔽提供施加判据的位置，共形风险控制提供确定阈值的方法。本章交代这四者，说明所处理的缺陷类型，再把治理问题形式化为屏蔽约束下的序贯决策。</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只取预测误差是不够的，一段被尖峰污染的窗口和一段本就难以预测的窗口都会产生高误差，前者的误差集中在少数位置，后者的误差分布均匀，分位数信息能把两者分开。探测只做前向计算，不涉及梯度，单位开销远低于需要海森求逆的影响函数方法[11]，这在需要反复测量的强化学习设定下尤为重要。</w:t>
      </w:r>
    </w:p>
    <w:p w14:paraId="30131782" w14:textId="77777777" w:rsidR="000545C4" w:rsidRDefault="00000000">
      <w:pPr/>
    </w:p>
    <w:p w14:paraId="30135560" w14:textId="77777777" w:rsidR="000545C4" w:rsidRDefault="00000000">
      <w:pPr>
        <w:ind w:firstLineChars="200" w:firstLine="420"/>
      </w:pPr>
      <w:r>
        <w:rPr>
          <w:rFonts w:hint="eastAsia"/>
        </w:rPr>
        <w:t xml:space="preserve">模型效用衡量一个窗口对目标模型的友好程度，本文把它定义为若干归一化误差分量的加权负和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为对应权重。各分量都是越小越好，整体取负号后</w:t>
      </w:r>
      <w:r>
        <w:rPr>
          <w:rFonts w:hint="eastAsia"/>
        </w:rPr>
        <w:t xml:space="preserve"> </w:t>
      </w:r>
      <m:oMath>
        <m:r>
          <m:t>U</m:t>
        </m:r>
      </m:oMath>
      <w:r>
        <w:rPr>
          <w:rFonts w:hint="eastAsia"/>
        </w:rPr>
        <w:t xml:space="preserve"> </w:t>
      </w:r>
      <w:r>
        <w:rPr>
          <w:rFonts w:hint="eastAsia"/>
        </w:rPr>
        <w:t xml:space="preserve">越大表示窗口对模型越友好。一次候选动作</w:t>
      </w:r>
      <w:r>
        <w:rPr>
          <w:rFonts w:hint="eastAsia"/>
        </w:rPr>
        <w:t xml:space="preserve"> </w:t>
      </w:r>
      <m:oMath>
        <m:r>
          <m:t>a</m:t>
        </m:r>
      </m:oMath>
      <w:r>
        <w:rPr>
          <w:rFonts w:hint="eastAsia"/>
        </w:rPr>
        <w:t xml:space="preserve"> </w:t>
      </w:r>
      <w:r>
        <w:rPr>
          <w:rFonts w:hint="eastAsia"/>
        </w:rPr>
        <w:t xml:space="preserve">带来的效用变化写作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该差值只有在两次测量使用相同的留出跨度和相同的归一化尺度时才有意义。改变窗口长度的动作会破坏这一前提，因此同跨度同尺度是进入判据的硬性要求，具体做法见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节所述偏差的载体，在使用它的同时避免被它误导是方法设计的核心。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时序结构保真度衡量一次编辑对序列固有结构的破坏程度，取值越低表示保持得越好。它只比较编辑前后的时序属性，与模型无关。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加权平均之外保留最差单项，可以避免某一项上的灾难性破坏被其余项平均掉。序列尾部被整体抹平就属于这种情形，它在多数属性上看起来变化不大，只在极值一项上暴露。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屏蔽[14]指在智能体与环境之间加入一层过滤器，动作生效之前先检查它是否违反给定规约，通过检查才被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做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缺陷，按影响范围分为两类。局部缺陷作用于窗口内有限的时间范围，包括孤立尖峰、散点缺失、连续缺失片段与重复片段，它们通常在序列上留下明显痕迹，统计画像对其检测能力较强。重复片段是其中的例外，被复制的片段本身在统计上完全正常，只有把它与上下文对照才能发现。全局缺陷改变整个窗口的分布，包括水平位移、噪声放大与平台化，影响不局限于某几个时间点。</w:t>
      </w:r>
    </w:p>
    <w:p w14:paraId="3015633F" w14:textId="77777777" w:rsidR="000545C4" w:rsidRDefault="00000000">
      <w:pPr>
        <w:ind w:firstLineChars="200" w:firstLine="420"/>
      </w:pPr>
      <w:r>
        <w:rPr>
          <w:rFonts w:hint="eastAsia"/>
        </w:rPr>
        <w:t xml:space="preserve">这两类缺陷带来的困难体现在两个层面。在单个窗口的尺度上，某些缺陷在模型行为上的表现与困难但正确的数据高度相似，水平位移与合法的状态切换都会抬高预测误差，仅凭模型反馈无法区分。在语料的尺度上，模型行为信号反映的是窗口对该模型的可预测程度，而窗口的可预测程度与它的质量并不等同，结构上本就复杂却完全干净的数据同样会得到高风险读数。这一偏差对基于规则的方法只是误判，对基于学习的方法则更严重，因为策略会主动朝着偏差的方向优化，把降低可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是长度固定的单通道序列，给定动作空间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，治理的目标是学习策略</w:t>
      </w:r>
      <w:r>
        <w:rPr>
          <w:rFonts w:hint="eastAsia"/>
        </w:rPr>
        <w:t xml:space="preserve"> </w:t>
      </w:r>
      <m:oMath>
        <m:r>
          <m:t>π</m:t>
        </m:r>
      </m:oMath>
      <w:r>
        <w:rPr>
          <w:rFonts w:hint="eastAsia"/>
        </w:rPr>
        <w:t xml:space="preserve">，为每个窗口选择动作序列，在提高语料对目标模型效用的同时不破坏窗口原有的时序结构，并在证据不足时不做处理。把治理过程建模为受约束的马尔可夫决策过程[17]，五个要素定义如下。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为决策风险，度量当前证据支持该动作的充分程度，由三项加权而成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为行为证据改善的深度，</w:t>
      </w:r>
      <m:oMath>
        <m:r>
          <m:rPr>
            <m:sty m:val="p"/>
          </m:rPr>
          <m:t>c</m:t>
        </m:r>
        <m:r>
          <m:rPr>
            <m:sty m:val="p"/>
          </m:rPr>
          <m:t>o</m:t>
        </m:r>
        <m:r>
          <m:rPr>
            <m:sty m:val="p"/>
          </m:rPr>
          <m:t>n</m:t>
        </m:r>
        <m:r>
          <m:rPr>
            <m:sty m:val="p"/>
          </m:rPr>
          <m:t>s</m:t>
        </m:r>
      </m:oMath>
      <w:r>
        <w:rPr>
          <w:rFonts w:hint="eastAsia"/>
        </w:rPr>
        <w:t xml:space="preserve"> </w:t>
      </w:r>
      <w:r>
        <w:rPr>
          <w:rFonts w:hint="eastAsia"/>
        </w:rPr>
        <w:t xml:space="preserve">为改善在各行为分量上的一致性，</w:t>
      </w:r>
      <m:oMath>
        <m:r>
          <m:rPr>
            <m:sty m:val="p"/>
          </m:rPr>
          <m:t>c</m:t>
        </m:r>
        <m:r>
          <m:rPr>
            <m:sty m:val="p"/>
          </m:rPr>
          <m:t>o</m:t>
        </m:r>
        <m:r>
          <m:rPr>
            <m:sty m:val="p"/>
          </m:rPr>
          <m:t>s</m:t>
        </m:r>
        <m:r>
          <m:rPr>
            <m:sty m:val="p"/>
          </m:rPr>
          <m:t>t</m:t>
        </m:r>
      </m:oMath>
      <w:r>
        <w:rPr>
          <w:rFonts w:hint="eastAsia"/>
        </w:rPr>
        <w:t xml:space="preserve"> </w:t>
      </w:r>
      <w:r>
        <w:rPr>
          <w:rFonts w:hint="eastAsia"/>
        </w:rPr>
        <w:t xml:space="preserve">为算子的归一化代价，三者都取自本次候选自身，与窗口的缺陷假设无关。用假设的后验充当风险曾是早期做法，实测显示它与编辑是否成功反向，后验最确信的十分之一窗口反而更容易收到错误编辑，因此改用上式的三项。</w:t>
      </w:r>
      <m:oMath>
        <m:r>
          <m:t>R</m:t>
        </m:r>
        <m:r>
          <m:rPr>
            <m:sty m:val="p"/>
          </m:rPr>
          <m:t>(</m:t>
        </m:r>
        <m:r>
          <m:t>a</m:t>
        </m:r>
        <m:r>
          <m:rPr>
            <m:sty m:val="p"/>
          </m:rPr>
          <m:t>)</m:t>
        </m:r>
      </m:oMath>
      <w:r>
        <w:rPr>
          <w:rFonts w:hint="eastAsia"/>
        </w:rPr>
        <w:t xml:space="preserve"> </w:t>
      </w:r>
      <w:r>
        <w:rPr>
          <w:rFonts w:hint="eastAsia"/>
        </w:rPr>
        <w:t xml:space="preserve">越小表示提交越安全。上式定义在单个窗口上，而治理的最终对象是整个语料，两者通过下面的损害定义连接。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所示。该方法按状态取证、沙箱试执行、屏蔽裁决、反馈学习的顺序完成语料治理，把一个无法事先判定的问题转化为一系列可以事后核验并从中学习的单步决策。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缺少质量标签且单一证据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状态给定之后，回答某个具体动作施加下去会发生什么，同时不让这次尝试造成不可撤销的后果，由基于沙箱副本的干预重测与奖励生成算法（SIR）承担。它把候选动作作用在工作副本的拷贝上而不覆盖原值，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基于共形标定的双信号屏蔽算法（CDS）负责裁决。它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为让策略从裁决中改进并把探测预算用在更需要的地方，基于屏蔽反馈的策略优化与预算分配算法（SPO）以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本章给出四个模块的具体实现与相应的理论性质。状态构建负责取证，沙箱重测负责把动作的后果测出来，双信号屏蔽负责裁决并给出安全保证，策略优化负责从裁决中学习并分配预算，最后分析各模块与整体的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缺少质量标签时单一证据存在盲区，CDP 因而从两个来源取证，它们的失效区域并不重合，这是把两类证据同时保留的原因。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把两类证据直接相加，盲区会叠加起来，因为它们的量纲和分布都不同。CDP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，相似度用画像向量经 L2 归一化后的余弦距离衡量，再用这组邻居的中位数与四分位距对行为签名做稳健标准化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检索到的邻居集合还有第二个用途。同一组邻居定义了一个画像簇</w:t>
      </w:r>
      <w:r>
        <w:rPr>
          <w:rFonts w:hint="eastAsia"/>
        </w:rPr>
        <w:t xml:space="preserve"> </w:t>
      </w:r>
      <m:oMath>
        <m:r>
          <m:t>j</m:t>
        </m:r>
      </m:oMath>
      <w:r>
        <w:rPr>
          <w:rFonts w:hint="eastAsia"/>
        </w:rPr>
        <w:t xml:space="preserve">，SPO 的动作价值估计正是按簇维护的，因为同一簇内的窗口在结构上相似，某个算子在其中一个窗口上有效往往意味着在其余窗口上也有效。CDP 因此既提供状态，也提供策略泛化所依赖的划分。算法 1 给出完整流程。</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w:t>
            </w:r>
            <w:r>
              <w:rPr>
                <w:rFonts w:hint="eastAsia"/>
              </w:rPr>
              <w:t xml:space="preserve">窗口 x，冻结模型池 F，邻域大小 K</w:t>
            </w:r>
          </w:p>
          <w:p w14:paraId="301A5786" w14:textId="77777777" w:rsidR="000545C4" w:rsidRDefault="00000000">
            <w:pPr/>
            <w:r>
              <w:rPr>
                <w:rFonts w:hint="eastAsia"/>
                <w:b/>
                <w:bCs/>
              </w:rPr>
              <w:t xml:space="preserve">输出：</w:t>
            </w:r>
            <w:r>
              <w:rPr>
                <w:rFonts w:hint="eastAsia"/>
              </w:rPr>
              <w:t xml:space="preserve">状态 s，画像簇标识 j</w:t>
            </w:r>
          </w:p>
          <w:p w14:paraId="301A7675" w14:textId="77777777" w:rsidR="000545C4" w:rsidRDefault="00000000">
            <w:pPr/>
            <w:r>
              <w:rPr>
                <w:rFonts w:hint="eastAsia"/>
              </w:rPr>
              <w:t>1: p ← ExtractProfile(x)  // 十二维统计画像</w:t>
            </w:r>
          </w:p>
          <w:p w14:paraId="301A9564" w14:textId="77777777" w:rsidR="000545C4" w:rsidRDefault="00000000">
            <w:pPr/>
            <w:r>
              <w:rPr>
                <w:rFonts w:hint="eastAsia"/>
              </w:rPr>
              <w:t>2: b ← Probe(F[0], x)  // 前向探测得到行为签名</w:t>
            </w:r>
          </w:p>
          <w:p w14:paraId="301AB453" w14:textId="77777777" w:rsidR="000545C4" w:rsidRDefault="00000000">
            <w:pPr/>
            <w:r>
              <w:rPr>
                <w:rFonts w:hint="eastAsia"/>
              </w:rPr>
              <w:t>3: for f in F[1:] do  b ← b ∪ Disagree(f, x)  end for  // 模型间分歧</w:t>
            </w:r>
          </w:p>
          <w:p w14:paraId="301AD342" w14:textId="77777777" w:rsidR="000545C4" w:rsidRDefault="00000000">
            <w:pPr/>
            <w:r>
              <w:rPr>
                <w:rFonts w:hint="eastAsia"/>
              </w:rPr>
              <w:t>4: N, j ← KNN(p, K)  // 同类邻居与所属画像簇</w:t>
            </w:r>
          </w:p>
          <w:p w14:paraId="301AF231" w14:textId="77777777" w:rsidR="000545C4" w:rsidRDefault="00000000">
            <w:pPr/>
            <w:r>
              <w:rPr>
                <w:rFonts w:hint="eastAsia"/>
              </w:rPr>
              <w:t>5: z ← RobustZ(b, N)  // 以邻居的中位数与四分位距标准化</w:t>
            </w:r>
          </w:p>
          <w:p w14:paraId="301B1120" w14:textId="77777777" w:rsidR="000545C4" w:rsidRDefault="00000000">
            <w:pPr/>
            <w:r>
              <w:rPr>
                <w:rFonts w:hint="eastAsia"/>
              </w:rPr>
              <w:t xml:space="preserve">6: r_stat ← ScoreStat(p) ,  r_behav ← z · w</w:t>
            </w:r>
          </w:p>
          <w:p w14:paraId="301B300F" w14:textId="77777777" w:rsidR="000545C4" w:rsidRDefault="00000000">
            <w:pPr/>
            <w:r>
              <w:rPr>
                <w:rFonts w:hint="eastAsia"/>
              </w:rPr>
              <w:t>7: h ← Posterior(r_stat, r_behav)  // 缺陷类型后验</w:t>
            </w:r>
          </w:p>
          <w:p w14:paraId="301B4EFE" w14:textId="77777777" w:rsidR="000545C4" w:rsidRDefault="00000000">
            <w:pPr/>
            <w:r>
              <w:rPr>
                <w:rFonts w:hint="eastAsia"/>
              </w:rPr>
              <w:t xml:space="preserve">8: </w:t>
            </w:r>
            <w:r>
              <w:rPr>
                <w:rFonts w:hint="eastAsia"/>
                <w:b/>
                <w:bCs/>
              </w:rPr>
              <w:t xml:space="preserve">return</w:t>
            </w:r>
            <w:r>
              <w:rPr>
                <w:rFonts w:hint="eastAsia"/>
              </w:rPr>
              <w:t xml:space="preserve"> s ← (p, b, r_stat, r_behav, h, ∅, B) ,  j</w:t>
            </w:r>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CDP 给出的状态说明了窗口可能存在什么问题，却没有回答某个具体动作施加下去会发生什么。回答这个问题需要真正执行一次动作并观察结果。强化学习的设定给这件事加了一层要求，学习需要反复尝试，而语料被修改之后无法还原。SIR 把执行与提交分开，同时满足这两方面的需要。</w:t>
      </w:r>
    </w:p>
    <w:p w14:paraId="301BCABA" w14:textId="77777777" w:rsidR="000545C4" w:rsidRDefault="00000000">
      <w:pPr>
        <w:ind w:firstLineChars="200" w:firstLine="420"/>
      </w:pPr>
      <w:r>
        <w:rPr>
          <w:rFonts w:hint="eastAsia"/>
        </w:rPr>
        <w:t xml:space="preserve">候选动作作用在工作副本的拷贝上，得到候选窗口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给出了效用变化，而 2.2 节已经说明效用信号在部分数据上与有害性方向相反。仅凭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作出裁决会放行那些通过抹平序列换取低误差的动作。在策略需要学习的设定下后果比误判更严重，因为策略会朝着这个方向持续优化。CDS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不是原始读数。一个抹平动作即使拿到很高的效用读数，也会因结构失真超限而被撤销，最终计入负奖励。策略在若干轮之后会学到，在需要保护的窗口上提出抹平动作是不划算的，从而在提议阶段就避开这类动作。若把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w:t>
            </w:r>
            <w:r>
              <w:rPr>
                <w:rFonts w:hint="eastAsia"/>
              </w:rPr>
              <w:t xml:space="preserve">工作副本 x‘，候选动作 a，阈值 ε、τ</w:t>
            </w:r>
            <w:r>
              <w:rPr>
                <w:rFonts w:hint="eastAsia"/>
              </w:rPr>
              <w:t xml:space="preserve">、η</w:t>
            </w:r>
          </w:p>
          <w:p w14:paraId="301E7344" w14:textId="77777777" w:rsidR="000545C4" w:rsidRDefault="00000000">
            <w:pPr/>
            <w:r>
              <w:rPr>
                <w:rFonts w:hint="eastAsia"/>
                <w:b/>
                <w:bCs/>
              </w:rPr>
              <w:t xml:space="preserve">输出：</w:t>
            </w:r>
            <w:r>
              <w:rPr>
                <w:rFonts w:hint="eastAsia"/>
              </w:rPr>
              <w:t xml:space="preserve">裁决结果、更新后的副本与奖励 r</w:t>
            </w:r>
          </w:p>
          <w:p w14:paraId="301E9233" w14:textId="77777777" w:rsidR="000545C4" w:rsidRDefault="00000000">
            <w:pPr/>
            <w:r>
              <w:rPr>
                <w:rFonts w:hint="eastAsia"/>
              </w:rPr>
              <w:t>1: c ← a(x')  // 作用于副本的拷贝</w:t>
            </w:r>
          </w:p>
          <w:p w14:paraId="301EB122" w14:textId="77777777" w:rsidR="000545C4" w:rsidRDefault="00000000">
            <w:pPr/>
            <w:r>
              <w:rPr>
                <w:rFonts w:hint="eastAsia"/>
              </w:rPr>
              <w:t>2: ΔU ← U(c) − U(x')  // 同跨度同尺度重测</w:t>
            </w:r>
          </w:p>
          <w:p w14:paraId="301ED011" w14:textId="77777777" w:rsidR="000545C4" w:rsidRDefault="00000000">
            <w:pPr/>
            <w:r>
              <w:rPr>
                <w:rFonts w:hint="eastAsia"/>
              </w:rPr>
              <w:t xml:space="preserve">3: d ← D(x', c) ,  ρ ← Risk(a, s)</w:t>
            </w:r>
          </w:p>
          <w:p w14:paraId="301EEF00" w14:textId="77777777" w:rsidR="000545C4" w:rsidRDefault="00000000">
            <w:pPr/>
            <w:r>
              <w:rPr>
                <w:rFonts w:hint="eastAsia"/>
              </w:rPr>
              <w:t xml:space="preserve">4: </w:t>
            </w:r>
            <w:r>
              <w:rPr>
                <w:rFonts w:hint="eastAsia"/>
                <w:b/>
                <w:bCs/>
              </w:rPr>
              <w:t xml:space="preserve">if</w:t>
            </w:r>
            <w:r>
              <w:rPr>
                <w:rFonts w:hint="eastAsia"/>
              </w:rPr>
              <w:t xml:space="preserve"> ΔU &gt; ε </w:t>
            </w:r>
            <w:r>
              <w:rPr>
                <w:rFonts w:hint="eastAsia"/>
                <w:b/>
                <w:bCs/>
              </w:rPr>
              <w:t xml:space="preserve">and</w:t>
            </w:r>
            <w:r>
              <w:rPr>
                <w:rFonts w:hint="eastAsia"/>
              </w:rPr>
              <w:t xml:space="preserve"> d &lt; τ</w:t>
            </w:r>
            <w:r>
              <w:rPr>
                <w:rFonts w:hint="eastAsia"/>
              </w:rPr>
              <w:t xml:space="preserve"> </w:t>
            </w:r>
            <w:r>
              <w:rPr>
                <w:rFonts w:hint="eastAsia"/>
                <w:b/>
                <w:bCs/>
              </w:rPr>
              <w:t xml:space="preserve">and</w:t>
            </w:r>
            <w:r>
              <w:rPr>
                <w:rFonts w:hint="eastAsia"/>
              </w:rPr>
              <w:t xml:space="preserve"> ρ &lt; η </w:t>
            </w:r>
            <w:r>
              <w:rPr>
                <w:rFonts w:hint="eastAsia"/>
                <w:b/>
                <w:bCs/>
              </w:rPr>
              <w:t xml:space="preserve">then</w:t>
            </w:r>
          </w:p>
          <w:p w14:paraId="301F0DEF" w14:textId="77777777" w:rsidR="000545C4" w:rsidRDefault="00000000">
            <w:pPr/>
            <w:r>
              <w:rPr>
                <w:rFonts w:hint="eastAsia"/>
              </w:rPr>
              <w:t>5:  x' ← c,  verdict ← ACCEPT,  r ← ΔU</w:t>
            </w:r>
          </w:p>
          <w:p w14:paraId="301F2CDE" w14:textId="77777777" w:rsidR="000545C4" w:rsidRDefault="00000000">
            <w:pPr/>
            <w:r>
              <w:rPr>
                <w:rFonts w:hint="eastAsia"/>
              </w:rPr>
              <w:t xml:space="preserve">6: </w:t>
            </w:r>
            <w:r>
              <w:rPr>
                <w:rFonts w:hint="eastAsia"/>
                <w:b/>
                <w:bCs/>
              </w:rPr>
              <w:t xml:space="preserve">else</w:t>
            </w:r>
          </w:p>
          <w:p w14:paraId="301F4BCD" w14:textId="77777777" w:rsidR="000545C4" w:rsidRDefault="00000000">
            <w:pPr/>
            <w:r>
              <w:rPr>
                <w:rFonts w:hint="eastAsia"/>
              </w:rPr>
              <w:t>7:  verdict ← ROLLBACK,  r ← − c₀ · Cost(a)  // 副本不变</w:t>
            </w:r>
          </w:p>
          <w:p w14:paraId="301F6ABC" w14:textId="77777777" w:rsidR="000545C4" w:rsidRDefault="00000000">
            <w:pPr/>
            <w:r>
              <w:rPr>
                <w:rFonts w:hint="eastAsia"/>
              </w:rPr>
              <w:t>8:  reason ← 首个不满足的条件  // 供策略调整方向</w:t>
            </w:r>
          </w:p>
          <w:p w14:paraId="301F89AB" w14:textId="77777777" w:rsidR="000545C4" w:rsidRDefault="00000000">
            <w:pPr/>
            <w:r>
              <w:rPr>
                <w:rFonts w:hint="eastAsia"/>
              </w:rPr>
              <w:t xml:space="preserve">9: </w:t>
            </w:r>
            <w:r>
              <w:rPr>
                <w:rFonts w:hint="eastAsia"/>
                <w:b/>
                <w:bCs/>
              </w:rPr>
              <w:t xml:space="preserve">end if</w:t>
            </w:r>
          </w:p>
          <w:p w14:paraId="301FA89A" w14:textId="77777777" w:rsidR="000545C4" w:rsidRDefault="00000000">
            <w:pPr/>
            <w:r>
              <w:rPr>
                <w:rFonts w:hint="eastAsia"/>
              </w:rPr>
              <w:t xml:space="preserve">10: </w:t>
            </w:r>
            <w:r>
              <w:rPr>
                <w:rFonts w:hint="eastAsia"/>
                <w:b/>
                <w:bCs/>
              </w:rPr>
              <w:t xml:space="preserve">return</w:t>
            </w:r>
            <w:r>
              <w:rPr>
                <w:rFonts w:hint="eastAsia"/>
              </w:rPr>
              <w:t xml:space="preserve"> verdict, x', r, reason</w:t>
            </w:r>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有两点边界。其一是可达风险下界，阈值网格中最保守的取值仍然对应一个正的经验风险，低于这个下界的目标水平在当前动作空间下无解，此时标定过程返回最保守的阈值，这一行为符合定义。其二是可交换性在策略学习过程中的脆弱性，策略更新会改变候选动作的分布，从而改变提交编辑的分布，使部署数据与早先的校准集不再可交换。实现中的处理是每</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次决策重新标定一次，把两次标定之间的阈值视为固定值。定理 3 给出的结构上界在此期间仍然成立，因此重新标定的间隔只影响损害率保证的紧致程度，不影响结构安全性。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前三个模块构成了一个可以安全试错的环境，SPO 在这个环境中学习动作选择。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更换因而往往是盲目的。这说明序贯决策本身可行，问题出在备选顺序需要根据窗口类型学习。</w:t>
      </w:r>
    </w:p>
    <w:p w14:paraId="30225124" w14:textId="77777777" w:rsidR="000545C4" w:rsidRDefault="00000000">
      <w:pPr>
        <w:ind w:firstLineChars="200" w:firstLine="420"/>
      </w:pPr>
      <w:r>
        <w:rPr>
          <w:rFonts w:hint="eastAsia"/>
        </w:rPr>
        <w:t>SPO 采用上下文老虎机，理由是本任务的决策序列很短，多数窗口在三步以内结束，状态经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 xml:space="preserve">接受奖励需要设上界。定理 5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w:t>
            </w:r>
            <w:r>
              <w:rPr>
                <w:rFonts w:hint="eastAsia"/>
              </w:rPr>
              <w:t xml:space="preserve">语料 D，总预算 B_total，探索系数 c_u，标定间隔 T_cal</w:t>
            </w:r>
          </w:p>
          <w:p w14:paraId="3023489C" w14:textId="77777777" w:rsidR="000545C4" w:rsidRDefault="00000000">
            <w:pPr/>
            <w:r>
              <w:rPr>
                <w:rFonts w:hint="eastAsia"/>
                <w:b/>
                <w:bCs/>
              </w:rPr>
              <w:t xml:space="preserve">输出：</w:t>
            </w:r>
            <w:r>
              <w:rPr>
                <w:rFonts w:hint="eastAsia"/>
              </w:rPr>
              <w:t xml:space="preserve">治理后语料 D‘，策略 Q</w:t>
            </w:r>
          </w:p>
          <w:p w14:paraId="3023678B" w14:textId="77777777" w:rsidR="000545C4" w:rsidRDefault="00000000">
            <w:pPr/>
            <w:r>
              <w:rPr>
                <w:rFonts w:hint="eastAsia"/>
              </w:rPr>
              <w:t xml:space="preserve">1: 初始化 Q(j, a) ← 0 ,  n(j, a) ← 0 ,  t ← 0</w:t>
            </w:r>
          </w:p>
          <w:p w14:paraId="3023867A" w14:textId="77777777" w:rsidR="000545C4" w:rsidRDefault="00000000">
            <w:pPr/>
            <w:r>
              <w:rPr>
                <w:rFonts w:hint="eastAsia"/>
              </w:rPr>
              <w:t xml:space="preserve">2: </w:t>
            </w:r>
            <w:r>
              <w:rPr>
                <w:rFonts w:hint="eastAsia"/>
                <w:b/>
                <w:bCs/>
              </w:rPr>
              <w:t xml:space="preserve">for</w:t>
            </w:r>
            <w:r>
              <w:rPr>
                <w:rFonts w:hint="eastAsia"/>
              </w:rPr>
              <w:t xml:space="preserve"> x </w:t>
            </w:r>
            <w:r>
              <w:rPr>
                <w:rFonts w:hint="eastAsia"/>
                <w:b/>
                <w:bCs/>
              </w:rPr>
              <w:t xml:space="preserve">in</w:t>
            </w:r>
            <w:r>
              <w:rPr>
                <w:rFonts w:hint="eastAsia"/>
              </w:rPr>
              <w:t xml:space="preserve"> D </w:t>
            </w:r>
            <w:r>
              <w:rPr>
                <w:rFonts w:hint="eastAsia"/>
                <w:b/>
                <w:bCs/>
              </w:rPr>
              <w:t xml:space="preserve">do</w:t>
            </w:r>
          </w:p>
          <w:p w14:paraId="3023A569" w14:textId="77777777" w:rsidR="000545C4" w:rsidRDefault="00000000">
            <w:pPr/>
            <w:r>
              <w:rPr>
                <w:rFonts w:hint="eastAsia"/>
              </w:rPr>
              <w:t>3:  s, j ← CDP(x)  // 状态与画像簇</w:t>
            </w:r>
          </w:p>
          <w:p w14:paraId="3023C458" w14:textId="77777777" w:rsidR="000545C4" w:rsidRDefault="00000000">
            <w:pPr/>
            <w:r>
              <w:rPr>
                <w:rFonts w:hint="eastAsia"/>
              </w:rPr>
              <w:t>4:  b ← AllocBudget(Q, j, s, B_total)  // 按期望收益分配预算</w:t>
            </w:r>
          </w:p>
          <w:p w14:paraId="3023E347" w14:textId="77777777" w:rsidR="000545C4" w:rsidRDefault="00000000">
            <w:pPr/>
            <w:r>
              <w:rPr>
                <w:rFonts w:hint="eastAsia"/>
              </w:rPr>
              <w:t>5:  while b &gt; 0 do</w:t>
            </w:r>
          </w:p>
          <w:p w14:paraId="30240236" w14:textId="77777777" w:rsidR="000545C4" w:rsidRDefault="00000000">
            <w:pPr/>
            <w:r>
              <w:rPr>
                <w:rFonts w:hint="eastAsia"/>
              </w:rPr>
              <w:t>6:  A_shield ← Shield(s)  // 由定理 2 保证非空</w:t>
            </w:r>
          </w:p>
          <w:p w14:paraId="30242125" w14:textId="77777777" w:rsidR="000545C4" w:rsidRDefault="00000000">
            <w:pPr/>
            <w:r>
              <w:rPr>
                <w:rFonts w:hint="eastAsia"/>
              </w:rPr>
              <w:t>7:  a ← arg max_{a ∈ A_shield} [Q(j,a) + c_u·sqrt(2 ln t / n(j,a))]</w:t>
            </w:r>
          </w:p>
          <w:p w14:paraId="30244014" w14:textId="77777777" w:rsidR="000545C4" w:rsidRDefault="00000000">
            <w:pPr/>
            <w:r>
              <w:rPr>
                <w:rFonts w:hint="eastAsia"/>
              </w:rPr>
              <w:t>8:  if a = KEEP or a = ABSTAIN then break</w:t>
            </w:r>
          </w:p>
          <w:p w14:paraId="30245F03" w14:textId="77777777" w:rsidR="000545C4" w:rsidRDefault="00000000">
            <w:pPr/>
            <w:r>
              <w:rPr>
                <w:rFonts w:hint="eastAsia"/>
              </w:rPr>
              <w:t>9:  verdict, x', r, reason ← CDS(x', a)  // 沙箱执行与裁决</w:t>
            </w:r>
          </w:p>
          <w:p w14:paraId="30247DF2" w14:textId="77777777" w:rsidR="000545C4" w:rsidRDefault="00000000">
            <w:pPr/>
            <w:r>
              <w:rPr>
                <w:rFonts w:hint="eastAsia"/>
              </w:rPr>
              <w:t>10:  n(j,a) ← n(j,a) + 1,  t ← t + 1</w:t>
            </w:r>
          </w:p>
          <w:p w14:paraId="30249CE1" w14:textId="77777777" w:rsidR="000545C4" w:rsidRDefault="00000000">
            <w:pPr/>
            <w:r>
              <w:rPr>
                <w:rFonts w:hint="eastAsia"/>
              </w:rPr>
              <w:t>11:  Q(j,a) ← Q(j,a) + (r − Q(j,a)) / n(j,a)  // 增量更新</w:t>
            </w:r>
          </w:p>
          <w:p w14:paraId="3024BBD0" w14:textId="77777777" w:rsidR="000545C4" w:rsidRDefault="00000000">
            <w:pPr/>
            <w:r>
              <w:rPr>
                <w:rFonts w:hint="eastAsia"/>
              </w:rPr>
              <w:t>12:  s ← Update(s, verdict, reason),  b ← b − Cost(a)</w:t>
            </w:r>
          </w:p>
          <w:p w14:paraId="3024DABF" w14:textId="77777777" w:rsidR="000545C4" w:rsidRDefault="00000000">
            <w:pPr/>
            <w:r>
              <w:rPr>
                <w:rFonts w:hint="eastAsia"/>
              </w:rPr>
              <w:t xml:space="preserve">13:  </w:t>
            </w:r>
            <w:r>
              <w:rPr>
                <w:rFonts w:hint="eastAsia"/>
                <w:b/>
                <w:bCs/>
              </w:rPr>
              <w:t xml:space="preserve">end while</w:t>
            </w:r>
          </w:p>
          <w:p w14:paraId="3024F9AE" w14:textId="77777777" w:rsidR="000545C4" w:rsidRDefault="00000000">
            <w:pPr/>
            <w:r>
              <w:rPr>
                <w:rFonts w:hint="eastAsia"/>
              </w:rPr>
              <w:t xml:space="preserve">14:  </w:t>
            </w:r>
            <w:r>
              <w:rPr>
                <w:rFonts w:hint="eastAsia"/>
                <w:b/>
                <w:bCs/>
              </w:rPr>
              <w:t xml:space="preserve">if</w:t>
            </w:r>
            <w:r>
              <w:rPr>
                <w:rFonts w:hint="eastAsia"/>
              </w:rPr>
              <w:t xml:space="preserve"> t mod T_cal = 0 </w:t>
            </w:r>
            <w:r>
              <w:rPr>
                <w:rFonts w:hint="eastAsia"/>
                <w:b/>
                <w:bCs/>
              </w:rPr>
              <w:t xml:space="preserve">then</w:t>
            </w:r>
            <w:r>
              <w:rPr>
                <w:rFonts w:hint="eastAsia"/>
              </w:rPr>
              <w:t xml:space="preserve"> τ</w:t>
            </w:r>
            <w:r>
              <w:rPr>
                <w:rFonts w:hint="eastAsia"/>
              </w:rPr>
              <w:t xml:space="preserve"> ← Calibrate(α)  </w:t>
            </w:r>
            <w:r>
              <w:rPr>
                <w:rFonts w:hint="eastAsia"/>
                <w:b/>
                <w:bCs/>
              </w:rPr>
              <w:t xml:space="preserve">end if</w:t>
            </w:r>
          </w:p>
          <w:p w14:paraId="3025189D" w14:textId="77777777" w:rsidR="000545C4" w:rsidRDefault="00000000">
            <w:pPr/>
            <w:r>
              <w:rPr>
                <w:rFonts w:hint="eastAsia"/>
              </w:rPr>
              <w:t xml:space="preserve">15: </w:t>
            </w:r>
            <w:r>
              <w:rPr>
                <w:rFonts w:hint="eastAsia"/>
                <w:b/>
                <w:bCs/>
              </w:rPr>
              <w:t xml:space="preserve">end for</w:t>
            </w:r>
          </w:p>
          <w:p w14:paraId="3025378C" w14:textId="77777777" w:rsidR="000545C4" w:rsidRDefault="00000000">
            <w:pPr/>
            <w:r>
              <w:rPr>
                <w:rFonts w:hint="eastAsia"/>
              </w:rPr>
              <w:t xml:space="preserve">16: </w:t>
            </w:r>
            <w:r>
              <w:rPr>
                <w:rFonts w:hint="eastAsia"/>
                <w:b/>
                <w:bCs/>
              </w:rPr>
              <w:t xml:space="preserve">return</w:t>
            </w:r>
            <w:r>
              <w:rPr>
                <w:rFonts w:hint="eastAsia"/>
              </w:rPr>
              <w:t xml:space="preserve"> D', Q</w:t>
            </w:r>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 xml:space="preserve">定理 5（屏蔽动作空间上的遗憾界）设奖励关于状态特征线性可表示且取值有界，屏蔽后的动作集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 xml:space="preserve">定理 5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。CDP 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。SIR 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。CDS 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，不涉及模型前向。SPO 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本章给出后续实验的规划。4.1 节说明数据、缺陷注入、基线、指标与超参数的设置，4.2 节按八组实验分别给出设计目标与具体配置。前四组衡量治理后的数据质量，后四组衡量智能体的决策质量本身。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2。这几个数据集是长期时序预测的通用基准[23,24]，与时序基础模型的评测设定一致，便于与已有工作对照。ETTh1、ETTh2、ETTm1 与 ETTm2 取自 Informer[23]，采样频率分别为小时与十五分钟。Electricity、Traffic 与 Weather 取自 Autoformer[24]，覆盖电力、交通与气象，其中 Weather 为十分钟采样。采样频率从十分钟到日跨越三个量级，可以检验方法对时间粒度的敏感性。Exchange 同样取自 Autoformer[24]，为日频金融数据，趋势缓慢且季节性弱，与其余数据集的结构差异明显，因此不作主语料，只用作真实跨域的对照层。</w:t>
      </w:r>
    </w:p>
    <w:p w14:paraId="30278349" w14:textId="77777777" w:rsidR="000545C4" w:rsidRDefault="00000000">
      <w:pPr/>
    </w:p>
    <w:p w14:paraId="3027A238" w14:textId="77777777" w:rsidR="000545C4" w:rsidRDefault="00000000">
      <w:pPr>
        <w:jc w:val="center"/>
      </w:pPr>
      <w:r>
        <w:rPr>
          <w:rFonts w:hint="eastAsia"/>
        </w:rPr>
        <w:t xml:space="preserve">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 xml:space="preserve">数据集</w:t>
            </w:r>
          </w:p>
        </w:tc>
        <w:tc>
          <w:tcPr>
            <w:tcW w:w="1300" w:type="dxa"/>
            <w:vAlign w:val="center"/>
          </w:tcPr>
          <w:p w14:paraId="3027FF05" w14:textId="77777777" w:rsidR="000545C4" w:rsidRDefault="00000000">
            <w:pPr>
              <w:jc w:val="center"/>
            </w:pPr>
            <w:r>
              <w:rPr>
                <w:rFonts w:hint="eastAsia"/>
                <w:b/>
                <w:bCs/>
              </w:rPr>
              <w:t xml:space="preserve">领域</w:t>
            </w:r>
          </w:p>
        </w:tc>
        <w:tc>
          <w:tcPr>
            <w:tcW w:w="3378" w:type="dxa"/>
            <w:vAlign w:val="center"/>
          </w:tcPr>
          <w:p w14:paraId="30283CE3" w14:textId="77777777" w:rsidR="000545C4" w:rsidRDefault="00000000">
            <w:pPr>
              <w:jc w:val="center"/>
            </w:pPr>
            <w:r>
              <w:rPr>
                <w:rFonts w:hint="eastAsia"/>
                <w:b/>
                <w:bCs/>
              </w:rPr>
              <w:t xml:space="preserve">在本文中的用途</w:t>
            </w:r>
          </w:p>
        </w:tc>
      </w:tr>
      <w:tr>
        <w:trPr>
          <w:jc w:val="center"/>
        </w:trPr>
        <w:tc>
          <w:tcPr>
            <w:tcW w:w="1900" w:type="dxa"/>
            <w:vAlign w:val="center"/>
          </w:tcPr>
          <w:p w14:paraId="30285BD2" w14:textId="77777777" w:rsidR="000545C4" w:rsidRDefault="00000000">
            <w:pPr>
              <w:jc w:val="center"/>
            </w:pPr>
            <w:r>
              <w:rPr>
                <w:rFonts w:hint="eastAsia"/>
              </w:rPr>
              <w:t xml:space="preserve">ETTh1 与 ETTh2</w:t>
            </w:r>
          </w:p>
        </w:tc>
        <w:tc>
          <w:tcPr>
            <w:tcW w:w="1300" w:type="dxa"/>
            <w:vAlign w:val="center"/>
          </w:tcPr>
          <w:p w14:paraId="302899B0" w14:textId="77777777" w:rsidR="000545C4" w:rsidRDefault="00000000">
            <w:pPr>
              <w:jc w:val="center"/>
            </w:pPr>
            <w:r>
              <w:rPr>
                <w:rFonts w:hint="eastAsia"/>
              </w:rPr>
              <w:t xml:space="preserve">电力</w:t>
            </w:r>
          </w:p>
        </w:tc>
        <w:tc>
          <w:tcPr>
            <w:tcW w:w="3378" w:type="dxa"/>
            <w:vAlign w:val="center"/>
          </w:tcPr>
          <w:p w14:paraId="3028D78E" w14:textId="77777777" w:rsidR="000545C4" w:rsidRDefault="00000000">
            <w:pPr>
              <w:jc w:val="center"/>
            </w:pPr>
            <w:r>
              <w:rPr>
                <w:rFonts w:hint="eastAsia"/>
              </w:rPr>
              <w:t xml:space="preserve">主语料</w:t>
            </w:r>
          </w:p>
        </w:tc>
      </w:tr>
      <w:tr>
        <w:trPr>
          <w:jc w:val="center"/>
        </w:trPr>
        <w:tc>
          <w:tcPr>
            <w:tcW w:w="1900" w:type="dxa"/>
            <w:vAlign w:val="center"/>
          </w:tcPr>
          <w:p w14:paraId="3028F67D" w14:textId="77777777" w:rsidR="000545C4" w:rsidRDefault="00000000">
            <w:pPr>
              <w:jc w:val="center"/>
            </w:pPr>
            <w:r>
              <w:rPr>
                <w:rFonts w:hint="eastAsia"/>
              </w:rPr>
              <w:t xml:space="preserve">ETTm1 与 ETTm2</w:t>
            </w:r>
          </w:p>
        </w:tc>
        <w:tc>
          <w:tcPr>
            <w:tcW w:w="1300" w:type="dxa"/>
            <w:vAlign w:val="center"/>
          </w:tcPr>
          <w:p w14:paraId="3029345B" w14:textId="77777777" w:rsidR="000545C4" w:rsidRDefault="00000000">
            <w:pPr>
              <w:jc w:val="center"/>
            </w:pPr>
            <w:r>
              <w:rPr>
                <w:rFonts w:hint="eastAsia"/>
              </w:rPr>
              <w:t xml:space="preserve">电力</w:t>
            </w:r>
          </w:p>
        </w:tc>
        <w:tc>
          <w:tcPr>
            <w:tcW w:w="3378" w:type="dxa"/>
            <w:vAlign w:val="center"/>
          </w:tcPr>
          <w:p w14:paraId="30297239" w14:textId="77777777" w:rsidR="000545C4" w:rsidRDefault="00000000">
            <w:pPr>
              <w:jc w:val="center"/>
            </w:pPr>
            <w:r>
              <w:rPr>
                <w:rFonts w:hint="eastAsia"/>
              </w:rPr>
              <w:t xml:space="preserve">主语料</w:t>
            </w:r>
          </w:p>
        </w:tc>
      </w:tr>
      <w:tr>
        <w:trPr>
          <w:jc w:val="center"/>
        </w:trPr>
        <w:tc>
          <w:tcPr>
            <w:tcW w:w="1900" w:type="dxa"/>
            <w:vAlign w:val="center"/>
          </w:tcPr>
          <w:p w14:paraId="30299128" w14:textId="77777777" w:rsidR="000545C4" w:rsidRDefault="00000000">
            <w:pPr>
              <w:jc w:val="center"/>
            </w:pPr>
            <w:r>
              <w:rPr>
                <w:rFonts w:hint="eastAsia"/>
              </w:rPr>
              <w:t xml:space="preserve">Electricity</w:t>
            </w:r>
          </w:p>
        </w:tc>
        <w:tc>
          <w:tcPr>
            <w:tcW w:w="1300" w:type="dxa"/>
            <w:vAlign w:val="center"/>
          </w:tcPr>
          <w:p w14:paraId="3029CF06" w14:textId="77777777" w:rsidR="000545C4" w:rsidRDefault="00000000">
            <w:pPr>
              <w:jc w:val="center"/>
            </w:pPr>
            <w:r>
              <w:rPr>
                <w:rFonts w:hint="eastAsia"/>
              </w:rPr>
              <w:t xml:space="preserve">电力</w:t>
            </w:r>
          </w:p>
        </w:tc>
        <w:tc>
          <w:tcPr>
            <w:tcW w:w="3378" w:type="dxa"/>
            <w:vAlign w:val="center"/>
          </w:tcPr>
          <w:p w14:paraId="302A0CE4" w14:textId="77777777" w:rsidR="000545C4" w:rsidRDefault="00000000">
            <w:pPr>
              <w:jc w:val="center"/>
            </w:pPr>
            <w:r>
              <w:rPr>
                <w:rFonts w:hint="eastAsia"/>
              </w:rPr>
              <w:t xml:space="preserve">主语料</w:t>
            </w:r>
          </w:p>
        </w:tc>
      </w:tr>
      <w:tr>
        <w:trPr>
          <w:jc w:val="center"/>
        </w:trPr>
        <w:tc>
          <w:tcPr>
            <w:tcW w:w="1900" w:type="dxa"/>
            <w:vAlign w:val="center"/>
          </w:tcPr>
          <w:p w14:paraId="302A2BD3" w14:textId="77777777" w:rsidR="000545C4" w:rsidRDefault="00000000">
            <w:pPr>
              <w:jc w:val="center"/>
            </w:pPr>
            <w:r>
              <w:rPr>
                <w:rFonts w:hint="eastAsia"/>
              </w:rPr>
              <w:t xml:space="preserve">Traffic</w:t>
            </w:r>
          </w:p>
        </w:tc>
        <w:tc>
          <w:tcPr>
            <w:tcW w:w="1300" w:type="dxa"/>
            <w:vAlign w:val="center"/>
          </w:tcPr>
          <w:p w14:paraId="302A69B1" w14:textId="77777777" w:rsidR="000545C4" w:rsidRDefault="00000000">
            <w:pPr>
              <w:jc w:val="center"/>
            </w:pPr>
            <w:r>
              <w:rPr>
                <w:rFonts w:hint="eastAsia"/>
              </w:rPr>
              <w:t xml:space="preserve">交通</w:t>
            </w:r>
          </w:p>
        </w:tc>
        <w:tc>
          <w:tcPr>
            <w:tcW w:w="3378" w:type="dxa"/>
            <w:vAlign w:val="center"/>
          </w:tcPr>
          <w:p w14:paraId="302AA78F" w14:textId="77777777" w:rsidR="000545C4" w:rsidRDefault="00000000">
            <w:pPr>
              <w:jc w:val="center"/>
            </w:pPr>
            <w:r>
              <w:rPr>
                <w:rFonts w:hint="eastAsia"/>
              </w:rPr>
              <w:t xml:space="preserve">主语料</w:t>
            </w:r>
          </w:p>
        </w:tc>
      </w:tr>
      <w:tr>
        <w:trPr>
          <w:jc w:val="center"/>
        </w:trPr>
        <w:tc>
          <w:tcPr>
            <w:tcW w:w="1900" w:type="dxa"/>
            <w:vAlign w:val="center"/>
          </w:tcPr>
          <w:p w14:paraId="302AC67E" w14:textId="77777777" w:rsidR="000545C4" w:rsidRDefault="00000000">
            <w:pPr>
              <w:jc w:val="center"/>
            </w:pPr>
            <w:r>
              <w:rPr>
                <w:rFonts w:hint="eastAsia"/>
              </w:rPr>
              <w:t xml:space="preserve">Weather</w:t>
            </w:r>
          </w:p>
        </w:tc>
        <w:tc>
          <w:tcPr>
            <w:tcW w:w="1300" w:type="dxa"/>
            <w:vAlign w:val="center"/>
          </w:tcPr>
          <w:p w14:paraId="302B045C" w14:textId="77777777" w:rsidR="000545C4" w:rsidRDefault="00000000">
            <w:pPr>
              <w:jc w:val="center"/>
            </w:pPr>
            <w:r>
              <w:rPr>
                <w:rFonts w:hint="eastAsia"/>
              </w:rPr>
              <w:t xml:space="preserve">气象</w:t>
            </w:r>
          </w:p>
        </w:tc>
        <w:tc>
          <w:tcPr>
            <w:tcW w:w="3378" w:type="dxa"/>
            <w:vAlign w:val="center"/>
          </w:tcPr>
          <w:p w14:paraId="302B423A" w14:textId="77777777" w:rsidR="000545C4" w:rsidRDefault="00000000">
            <w:pPr>
              <w:jc w:val="center"/>
            </w:pPr>
            <w:r>
              <w:rPr>
                <w:rFonts w:hint="eastAsia"/>
              </w:rPr>
              <w:t xml:space="preserve">主语料</w:t>
            </w:r>
          </w:p>
        </w:tc>
      </w:tr>
      <w:tr>
        <w:trPr>
          <w:jc w:val="center"/>
        </w:trPr>
        <w:tc>
          <w:tcPr>
            <w:tcW w:w="1900" w:type="dxa"/>
            <w:vAlign w:val="center"/>
          </w:tcPr>
          <w:p w14:paraId="302B6129" w14:textId="77777777" w:rsidR="000545C4" w:rsidRDefault="00000000">
            <w:pPr>
              <w:jc w:val="center"/>
            </w:pPr>
            <w:r>
              <w:rPr>
                <w:rFonts w:hint="eastAsia"/>
              </w:rPr>
              <w:t xml:space="preserve">Exchange</w:t>
            </w:r>
          </w:p>
        </w:tc>
        <w:tc>
          <w:tcPr>
            <w:tcW w:w="1300" w:type="dxa"/>
            <w:vAlign w:val="center"/>
          </w:tcPr>
          <w:p w14:paraId="302B9F07" w14:textId="77777777" w:rsidR="000545C4" w:rsidRDefault="00000000">
            <w:pPr>
              <w:jc w:val="center"/>
            </w:pPr>
            <w:r>
              <w:rPr>
                <w:rFonts w:hint="eastAsia"/>
              </w:rPr>
              <w:t xml:space="preserve">金融</w:t>
            </w:r>
          </w:p>
        </w:tc>
        <w:tc>
          <w:tcPr>
            <w:tcW w:w="3378" w:type="dxa"/>
            <w:vAlign w:val="center"/>
          </w:tcPr>
          <w:p w14:paraId="302BDCE5" w14:textId="77777777" w:rsidR="000545C4" w:rsidRDefault="00000000">
            <w:pPr>
              <w:jc w:val="center"/>
            </w:pPr>
            <w:r>
              <w:rPr>
                <w:rFonts w:hint="eastAsia"/>
              </w:rPr>
              <w:t xml:space="preserve">真实跨域对照层</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无标签场景下无法直接获得治理是否正确的判据，因此计划在干净窗口上注入受控缺陷并逐条记录标签。注入的缺陷共七类，覆盖 2.2 节讨论的两个范围，孤立尖峰、散点缺失、连续缺失片段与重复片段属于局部缺陷，水平位移、噪声放大与平台化属于全局缺陷。污染率设置从百分之五到百分之六十七的多个档位，采用嵌套构造，即高污染率语料包含低污染率语料的全部污染窗口，干净部分保持不变，使不同污染率之间的差异只来自污染率本身。</w:t>
      </w:r>
    </w:p>
    <w:p w14:paraId="302C967F" w14:textId="77777777" w:rsidR="000545C4" w:rsidRDefault="00000000">
      <w:pPr>
        <w:ind w:firstLineChars="200" w:firstLine="420"/>
      </w:pPr>
      <w:r>
        <w:rPr>
          <w:rFonts w:hint="eastAsia"/>
        </w:rPr>
        <w:t xml:space="preserve">评测集分为六层。人工污染层是注入了上述缺陷的窗口，治理应当处理它们。普通干净层未注入任何缺陷。困难但正确层从真实数据中按结构贫乏度筛选，即季节强度与自相关都较低但完全干净的窗口。稀有有效层注入会回到基线的瞬态偏移，模拟真实的极端事件。合法变点层改变结构但对齐水平，模拟状态切换。干净分布外层由随机游走、阶梯、脉冲串与锯齿四种合成形态构成。后四层统称受保护层，它们不应被修改，因此其上的任何编辑都计为损害。另设真实跨域层，取自 Exchange 且不做注入，与合成的干净分布外层构成对照。</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基线覆盖三条路线，并包含参照下界与上界。所有产出数据的方法均取自已发表工作，其中三项发表于 2024 年之后。</w:t>
      </w:r>
    </w:p>
    <w:p w14:paraId="302D123B" w14:textId="77777777" w:rsidR="000545C4" w:rsidRDefault="00000000">
      <w:pPr>
        <w:ind w:firstLineChars="200" w:firstLine="420"/>
      </w:pPr>
      <w:r>
        <w:rPr>
          <w:rFonts w:hint="eastAsia"/>
        </w:rPr>
        <w:t xml:space="preserve">（1）参照下界与上界。不治理作为下界，其损害恒为零。知晓真值且只修改真实污染窗口的理想方法作为上界。两者充当坐标轴，不参与优劣比较。</w:t>
      </w:r>
    </w:p>
    <w:p w14:paraId="302D312A" w14:textId="77777777" w:rsidR="000545C4" w:rsidRDefault="00000000">
      <w:pPr>
        <w:ind w:firstLineChars="200" w:firstLine="420"/>
      </w:pPr>
      <w:r>
        <w:rPr>
          <w:rFonts w:hint="eastAsia"/>
        </w:rPr>
        <w:t xml:space="preserve">（2）修复式清洗。SCREEN[5]基于速度约束做局部最优修复，IMR[6]通过自回归模型迭代修复，MTCSC[8]的单变量分支代表 2024 年的工作。MTCSC 与 SCREEN 同属速度约束修复，是否单列由二者在本文语料上的编辑重合度决定，重合度分窗口、改动位置与修复取值三个层次测量，只有三个层次都高度一致才合并为一行，否则各自单列。这一族在本文中同时承担两个角色，既作为独立方法参与对比，也作为提议者接入本文的屏蔽层，用以检验屏蔽与策略是否与具体的动作来源解耦。</w:t>
      </w:r>
    </w:p>
    <w:p w14:paraId="302D5019" w14:textId="77777777" w:rsidR="000545C4" w:rsidRDefault="00000000">
      <w:pPr>
        <w:ind w:firstLineChars="200" w:firstLine="420"/>
      </w:pPr>
      <w:r>
        <w:rPr>
          <w:rFonts w:hint="eastAsia"/>
        </w:rPr>
        <w:t xml:space="preserve">（3）打分式选择。Data Shapley</w:t>
      </w:r>
      <w:r>
        <w:rPr>
          <w:rFonts w:hint="eastAsia"/>
          <w:vertAlign w:val="superscript"/>
        </w:rPr>
        <w:t xml:space="preserve">[9]</w:t>
      </w:r>
      <w:r>
        <w:rPr>
          <w:rFonts w:hint="eastAsia"/>
        </w:rPr>
        <w:t xml:space="preserve"> 与 Data-OOB</w:t>
      </w:r>
      <w:r>
        <w:rPr>
          <w:rFonts w:hint="eastAsia"/>
          <w:vertAlign w:val="superscript"/>
        </w:rPr>
        <w:t xml:space="preserve">[10]</w:t>
      </w:r>
      <w:r>
        <w:rPr>
          <w:rFonts w:hint="eastAsia"/>
        </w:rPr>
        <w:t xml:space="preserve"> 代表通用数据估值，TimeInf</w:t>
      </w:r>
      <w:r>
        <w:rPr>
          <w:rFonts w:hint="eastAsia"/>
          <w:vertAlign w:val="superscript"/>
        </w:rPr>
        <w:t xml:space="preserve">[11]</w:t>
      </w:r>
      <w:r>
        <w:rPr>
          <w:rFonts w:hint="eastAsia"/>
        </w:rPr>
        <w:t xml:space="preserve"> 代表面向时序的影响函数方法，TSRating</w:t>
      </w:r>
      <w:r>
        <w:rPr>
          <w:rFonts w:hint="eastAsia"/>
          <w:vertAlign w:val="superscript"/>
        </w:rPr>
        <w:t xml:space="preserve">[12]</w:t>
      </w:r>
      <w:r>
        <w:rPr>
          <w:rFonts w:hint="eastAsia"/>
        </w:rPr>
        <w:t xml:space="preserve"> 代表基于外部模型判断的评级方法。这一族产出样本级分数，按统一的语料层协议比较，即各方法产出整备后的语料，用同一下游模型训练并报同一组指标。</w:t>
      </w:r>
    </w:p>
    <w:p w14:paraId="302D6F08" w14:textId="77777777" w:rsidR="000545C4" w:rsidRDefault="00000000">
      <w:pPr>
        <w:ind w:firstLineChars="200" w:firstLine="420"/>
      </w:pPr>
      <w:r>
        <w:rPr>
          <w:rFonts w:hint="eastAsia"/>
        </w:rPr>
        <w:t xml:space="preserve">（4）策略与裁决方式对照。为分离策略学习与屏蔽各自的作用，计划实现四种对照。固定规则策略配屏蔽代表本文的早期版本，随机策略配屏蔽给出策略学习收益的下界，学习策略不配屏蔽即把算子直接作用于原数据，代表已有强化学习清洗方案的做法，只对效用信号做共形标定的单信号屏蔽用于说明合取的必要性。</w:t>
      </w:r>
    </w:p>
    <w:p w14:paraId="302D6F08" w14:textId="77777777" w:rsidR="000545C4" w:rsidRDefault="00000000">
      <w:pPr>
        <w:ind w:firstLineChars="200" w:firstLine="420"/>
      </w:pPr>
      <w:r>
        <w:rPr>
          <w:rFonts w:hint="eastAsia"/>
        </w:rPr>
        <w:t xml:space="preserve">（5）两套评测协议。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（6）全基线清单。非消融实验的表格一律列全以下各项，参照下界与上界、清洗族的 SCREEN 与 IMR 与 MTCSC 单变量分支、打分族的 Data Shapley 与 Data-OOB 与 TimeInf 与 TSRating、以及裁决方式对照的软惩罚与单信号屏蔽与规约式否决与无屏蔽。某方法若因协议不适用而缺项，在表中标注不适用并于表注说明理由，不得省略该行。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方法涉及的超参数见表 3。其中结构失真阈值</w:t>
      </w:r>
      <w:r>
        <w:rPr>
          <w:rFonts w:hint="eastAsia"/>
        </w:rPr>
        <w:t xml:space="preserve"> </w:t>
      </w:r>
      <m:oMath>
        <m:r>
          <m:t>τ</m:t>
        </m:r>
      </m:oMath>
      <w:r>
        <w:rPr>
          <w:rFonts w:hint="eastAsia"/>
        </w:rPr>
        <w:t xml:space="preserve"> </w:t>
      </w:r>
      <w:r>
        <w:rPr>
          <w:rFonts w:hint="eastAsia"/>
        </w:rPr>
        <w:t xml:space="preserve">由共形标定确定，不需要人工调节，其余需要设定初值。</w:t>
      </w:r>
    </w:p>
    <w:p w14:paraId="302E856F" w14:textId="77777777" w:rsidR="000545C4" w:rsidRDefault="00000000">
      <w:pPr/>
    </w:p>
    <w:p w14:paraId="302EA45E" w14:textId="77777777" w:rsidR="000545C4" w:rsidRDefault="00000000">
      <w:pPr>
        <w:jc w:val="center"/>
      </w:pPr>
      <w:r>
        <w:rPr>
          <w:rFonts w:hint="eastAsia"/>
        </w:rPr>
        <w:t xml:space="preserve">表 3 超参数与调节建议</w:t>
      </w:r>
    </w:p>
    <w:tbl>
      <w:tblPr>
        <w:tblW w:w="9978" w:type="dxa"/>
        <w:jc w:val="center"/>
        <w:tblBorders>
          <w:top w:val="single" w:sz="8" w:space="0" w:color="auto"/>
          <w:bottom w:val="single" w:sz="8" w:space="0" w:color="auto"/>
          <w:insideH w:val="single" w:sz="4" w:space="0" w:color="auto"/>
        </w:tblBorders>
        <w:tblLook w:val="04A0"/>
      </w:tblPr>
      <w:tblGrid>
        <w:gridCol w:w="1300"/>
        <w:gridCol w:w="2600"/>
        <w:gridCol w:w="2600"/>
        <w:gridCol w:w="3478"/>
      </w:tblGrid>
      <w:tr>
        <w:trPr>
          <w:tblHeader/>
          <w:jc w:val="center"/>
        </w:trPr>
        <w:tc>
          <w:tcPr>
            <w:tcW w:w="1300" w:type="dxa"/>
            <w:vAlign w:val="center"/>
          </w:tcPr>
          <w:p w14:paraId="302EC34D" w14:textId="77777777" w:rsidR="000545C4" w:rsidRDefault="00000000">
            <w:pPr>
              <w:jc w:val="center"/>
            </w:pPr>
            <w:r>
              <w:rPr>
                <w:rFonts w:hint="eastAsia"/>
                <w:b/>
                <w:bCs/>
              </w:rPr>
              <w:t xml:space="preserve">超参数</w:t>
            </w:r>
          </w:p>
        </w:tc>
        <w:tc>
          <w:tcPr>
            <w:tcW w:w="2600" w:type="dxa"/>
            <w:vAlign w:val="center"/>
          </w:tcPr>
          <w:p w14:paraId="302EE23C" w14:textId="77777777" w:rsidR="000545C4" w:rsidRDefault="00000000">
            <w:pPr>
              <w:jc w:val="center"/>
            </w:pPr>
            <w:r>
              <w:rPr>
                <w:rFonts w:hint="eastAsia"/>
                <w:b/>
                <w:bCs/>
              </w:rPr>
              <w:t xml:space="preserve">含义</w:t>
            </w:r>
          </w:p>
        </w:tc>
        <w:tc>
          <w:tcPr>
            <w:tcW w:w="2600" w:type="dxa"/>
            <w:vAlign w:val="center"/>
          </w:tcPr>
          <w:p w14:paraId="302F012B" w14:textId="77777777" w:rsidR="000545C4" w:rsidRDefault="00000000">
            <w:pPr>
              <w:jc w:val="center"/>
            </w:pPr>
            <w:r>
              <w:rPr>
                <w:rFonts w:hint="eastAsia"/>
                <w:b/>
                <w:bCs/>
              </w:rPr>
              <w:t xml:space="preserve">建议初值</w:t>
            </w:r>
          </w:p>
        </w:tc>
        <w:tc>
          <w:tcPr>
            <w:tcW w:w="3478" w:type="dxa"/>
            <w:vAlign w:val="center"/>
          </w:tcPr>
          <w:p w14:paraId="302F201A" w14:textId="77777777" w:rsidR="000545C4" w:rsidRDefault="00000000">
            <w:pPr>
              <w:jc w:val="center"/>
            </w:pPr>
            <w:r>
              <w:rPr>
                <w:rFonts w:hint="eastAsia"/>
                <w:b/>
                <w:bCs/>
              </w:rPr>
              <w:t xml:space="preserve">调节方向</w:t>
            </w:r>
          </w:p>
        </w:tc>
      </w:tr>
      <w:tr>
        <w:trPr>
          <w:jc w:val="center"/>
        </w:trPr>
        <w:tc>
          <w:tcPr>
            <w:tcW w:w="1300" w:type="dxa"/>
            <w:vAlign w:val="center"/>
          </w:tcPr>
          <w:p w14:paraId="302F3F09" w14:textId="77777777" w:rsidR="000545C4" w:rsidRDefault="00000000">
            <w:pPr>
              <w:jc w:val="center"/>
            </w:pPr>
            <m:oMath>
              <m:r>
                <m:t>K</m:t>
              </m:r>
            </m:oMath>
          </w:p>
        </w:tc>
        <w:tc>
          <w:tcPr>
            <w:tcW w:w="2600" w:type="dxa"/>
            <w:vAlign w:val="center"/>
          </w:tcPr>
          <w:p w14:paraId="302F5DF8" w14:textId="77777777" w:rsidR="000545C4" w:rsidRDefault="00000000">
            <w:pPr>
              <w:jc w:val="center"/>
            </w:pPr>
            <w:r>
              <w:rPr>
                <w:rFonts w:hint="eastAsia"/>
              </w:rPr>
              <w:t xml:space="preserve">同类校准的邻域大小</w:t>
            </w:r>
          </w:p>
        </w:tc>
        <w:tc>
          <w:tcPr>
            <w:tcW w:w="2600" w:type="dxa"/>
            <w:vAlign w:val="center"/>
          </w:tcPr>
          <w:p w14:paraId="302F7CE7" w14:textId="77777777" w:rsidR="000545C4" w:rsidRDefault="00000000">
            <w:pPr>
              <w:jc w:val="center"/>
            </w:pPr>
            <w:r>
              <w:rPr>
                <w:rFonts w:hint="eastAsia"/>
              </w:rPr>
              <w:t xml:space="preserve">50</w:t>
            </w:r>
          </w:p>
        </w:tc>
        <w:tc>
          <w:tcPr>
            <w:tcW w:w="3478" w:type="dxa"/>
            <w:vAlign w:val="center"/>
          </w:tcPr>
          <w:p w14:paraId="302F9BD6" w14:textId="77777777" w:rsidR="000545C4" w:rsidRDefault="00000000">
            <w:pPr>
              <w:jc w:val="center"/>
            </w:pPr>
            <w:r>
              <w:rPr>
                <w:rFonts w:hint="eastAsia"/>
              </w:rPr>
              <w:t xml:space="preserve">语料同质性高时减小，异质性高时增大</w:t>
            </w:r>
          </w:p>
        </w:tc>
      </w:tr>
      <w:tr>
        <w:trPr>
          <w:jc w:val="center"/>
        </w:trPr>
        <w:tc>
          <w:tcPr>
            <w:tcW w:w="1300" w:type="dxa"/>
            <w:vAlign w:val="center"/>
          </w:tcPr>
          <w:p w14:paraId="302FBAC5" w14:textId="77777777" w:rsidR="000545C4" w:rsidRDefault="00000000">
            <w:pPr>
              <w:jc w:val="center"/>
            </w:pPr>
            <m:oMath>
              <m:r>
                <m:t>ε</m:t>
              </m:r>
            </m:oMath>
          </w:p>
        </w:tc>
        <w:tc>
          <w:tcPr>
            <w:tcW w:w="2600" w:type="dxa"/>
            <w:vAlign w:val="center"/>
          </w:tcPr>
          <w:p w14:paraId="302FD9B4" w14:textId="77777777" w:rsidR="000545C4" w:rsidRDefault="00000000">
            <w:pPr>
              <w:jc w:val="center"/>
            </w:pPr>
            <w:r>
              <w:rPr>
                <w:rFonts w:hint="eastAsia"/>
              </w:rPr>
              <w:t xml:space="preserve">效用改善的最小幅度</w:t>
            </w:r>
          </w:p>
        </w:tc>
        <w:tc>
          <w:tcPr>
            <w:tcW w:w="2600" w:type="dxa"/>
            <w:vAlign w:val="center"/>
          </w:tcPr>
          <w:p w14:paraId="302FF8A3" w14:textId="77777777" w:rsidR="000545C4" w:rsidRDefault="00000000">
            <w:pPr>
              <w:jc w:val="center"/>
            </w:pPr>
            <w:r>
              <w:rPr>
                <w:rFonts w:hint="eastAsia"/>
              </w:rPr>
              <w:t xml:space="preserve">效用读数标准差的 0.1 倍</w:t>
            </w:r>
          </w:p>
        </w:tc>
        <w:tc>
          <w:tcPr>
            <w:tcW w:w="3478" w:type="dxa"/>
            <w:vAlign w:val="center"/>
          </w:tcPr>
          <w:p w14:paraId="30301792" w14:textId="77777777" w:rsidR="000545C4" w:rsidRDefault="00000000">
            <w:pPr>
              <w:jc w:val="center"/>
            </w:pPr>
            <w:r>
              <w:rPr>
                <w:rFonts w:hint="eastAsia"/>
              </w:rPr>
              <w:t xml:space="preserve">按代理模型上的噪声水平估计</w:t>
            </w:r>
          </w:p>
        </w:tc>
      </w:tr>
      <w:tr>
        <w:trPr>
          <w:jc w:val="center"/>
        </w:trPr>
        <w:tc>
          <w:tcPr>
            <w:tcW w:w="1300" w:type="dxa"/>
            <w:vAlign w:val="center"/>
          </w:tcPr>
          <w:p w14:paraId="30303681" w14:textId="77777777" w:rsidR="000545C4" w:rsidRDefault="00000000">
            <w:pPr>
              <w:jc w:val="center"/>
            </w:pPr>
            <m:oMath>
              <m:r>
                <m:t>η</m:t>
              </m:r>
            </m:oMath>
          </w:p>
        </w:tc>
        <w:tc>
          <w:tcPr>
            <w:tcW w:w="2600" w:type="dxa"/>
            <w:vAlign w:val="center"/>
          </w:tcPr>
          <w:p w14:paraId="30305570" w14:textId="77777777" w:rsidR="000545C4" w:rsidRDefault="00000000">
            <w:pPr>
              <w:jc w:val="center"/>
            </w:pPr>
            <w:r>
              <w:rPr>
                <w:rFonts w:hint="eastAsia"/>
              </w:rPr>
              <w:t xml:space="preserve">决策风险上界</w:t>
            </w:r>
          </w:p>
        </w:tc>
        <w:tc>
          <w:tcPr>
            <w:tcW w:w="2600" w:type="dxa"/>
            <w:vAlign w:val="center"/>
          </w:tcPr>
          <w:p w14:paraId="3030745F" w14:textId="77777777" w:rsidR="000545C4" w:rsidRDefault="00000000">
            <w:pPr>
              <w:jc w:val="center"/>
            </w:pPr>
            <w:r>
              <w:rPr>
                <w:rFonts w:hint="eastAsia"/>
              </w:rPr>
              <w:t xml:space="preserve">0.5</w:t>
            </w:r>
          </w:p>
        </w:tc>
        <w:tc>
          <w:tcPr>
            <w:tcW w:w="3478" w:type="dxa"/>
            <w:vAlign w:val="center"/>
          </w:tcPr>
          <w:p w14:paraId="3030934E" w14:textId="77777777" w:rsidR="000545C4" w:rsidRDefault="00000000">
            <w:pPr>
              <w:jc w:val="center"/>
            </w:pPr>
            <w:r>
              <w:rPr>
                <w:rFonts w:hint="eastAsia"/>
              </w:rPr>
              <w:t xml:space="preserve">受保护层误编辑偏多时调低</w:t>
            </w:r>
          </w:p>
        </w:tc>
      </w:tr>
      <w:tr>
        <w:trPr>
          <w:jc w:val="center"/>
        </w:trPr>
        <w:tc>
          <w:tcPr>
            <w:tcW w:w="1300" w:type="dxa"/>
            <w:vAlign w:val="center"/>
          </w:tcPr>
          <w:p w14:paraId="3030B23D" w14:textId="77777777" w:rsidR="000545C4" w:rsidRDefault="00000000">
            <w:pPr>
              <w:jc w:val="center"/>
            </w:pPr>
            <m:oMath>
              <m:r>
                <m:t>α</m:t>
              </m:r>
            </m:oMath>
          </w:p>
        </w:tc>
        <w:tc>
          <w:tcPr>
            <w:tcW w:w="2600" w:type="dxa"/>
            <w:vAlign w:val="center"/>
          </w:tcPr>
          <w:p w14:paraId="3030D12C" w14:textId="77777777" w:rsidR="000545C4" w:rsidRDefault="00000000">
            <w:pPr>
              <w:jc w:val="center"/>
            </w:pPr>
            <w:r>
              <w:rPr>
                <w:rFonts w:hint="eastAsia"/>
              </w:rPr>
              <w:t xml:space="preserve">目标损害率</w:t>
            </w:r>
          </w:p>
        </w:tc>
        <w:tc>
          <w:tcPr>
            <w:tcW w:w="2600" w:type="dxa"/>
            <w:vAlign w:val="center"/>
          </w:tcPr>
          <w:p w14:paraId="3030F01B" w14:textId="77777777" w:rsidR="000545C4" w:rsidRDefault="00000000">
            <w:pPr>
              <w:jc w:val="center"/>
            </w:pPr>
            <w:r>
              <w:rPr>
                <w:rFonts w:hint="eastAsia"/>
              </w:rPr>
              <w:t xml:space="preserve">0.02</w:t>
            </w:r>
          </w:p>
        </w:tc>
        <w:tc>
          <w:tcPr>
            <w:tcW w:w="3478" w:type="dxa"/>
            <w:vAlign w:val="center"/>
          </w:tcPr>
          <w:p w14:paraId="30310F0A" w14:textId="77777777" w:rsidR="000545C4" w:rsidRDefault="00000000">
            <w:pPr>
              <w:jc w:val="center"/>
            </w:pPr>
            <w:r>
              <w:rPr>
                <w:rFonts w:hint="eastAsia"/>
              </w:rPr>
              <w:t xml:space="preserve">按下游任务对损害的容忍度设定</w:t>
            </w:r>
          </w:p>
        </w:tc>
      </w:tr>
      <w:tr>
        <w:trPr>
          <w:jc w:val="center"/>
        </w:trPr>
        <w:tc>
          <w:tcPr>
            <w:tcW w:w="1300" w:type="dxa"/>
            <w:vAlign w:val="center"/>
          </w:tcPr>
          <w:p w14:paraId="30312DF9" w14:textId="77777777" w:rsidR="000545C4" w:rsidRDefault="00000000">
            <w:pPr>
              <w:jc w:val="center"/>
            </w:pPr>
            <m:oMath>
              <m:sSub>
                <m:e>
                  <m:r>
                    <m:t>c</m:t>
                  </m:r>
                </m:e>
                <m:sub>
                  <m:r>
                    <m:t>u</m:t>
                  </m:r>
                </m:sub>
              </m:sSub>
            </m:oMath>
          </w:p>
        </w:tc>
        <w:tc>
          <w:tcPr>
            <w:tcW w:w="2600" w:type="dxa"/>
            <w:vAlign w:val="center"/>
          </w:tcPr>
          <w:p w14:paraId="30314CE8" w14:textId="77777777" w:rsidR="000545C4" w:rsidRDefault="00000000">
            <w:pPr>
              <w:jc w:val="center"/>
            </w:pPr>
            <w:r>
              <w:rPr>
                <w:rFonts w:hint="eastAsia"/>
              </w:rPr>
              <w:t xml:space="preserve">上置信界的探索系数</w:t>
            </w:r>
          </w:p>
        </w:tc>
        <w:tc>
          <w:tcPr>
            <w:tcW w:w="2600" w:type="dxa"/>
            <w:vAlign w:val="center"/>
          </w:tcPr>
          <w:p w14:paraId="30316BD7" w14:textId="77777777" w:rsidR="000545C4" w:rsidRDefault="00000000">
            <w:pPr>
              <w:jc w:val="center"/>
            </w:pPr>
            <w:r>
              <w:rPr>
                <w:rFonts w:hint="eastAsia"/>
              </w:rPr>
              <w:t xml:space="preserve">1.0</w:t>
            </w:r>
          </w:p>
        </w:tc>
        <w:tc>
          <w:tcPr>
            <w:tcW w:w="3478" w:type="dxa"/>
            <w:vAlign w:val="center"/>
          </w:tcPr>
          <w:p w14:paraId="30318AC6" w14:textId="77777777" w:rsidR="000545C4" w:rsidRDefault="00000000">
            <w:pPr>
              <w:jc w:val="center"/>
            </w:pPr>
            <w:r>
              <w:rPr>
                <w:rFonts w:hint="eastAsia"/>
              </w:rPr>
              <w:t xml:space="preserve">语料规模大时可调低以加快收敛</w:t>
            </w:r>
          </w:p>
        </w:tc>
      </w:tr>
      <w:tr>
        <w:trPr>
          <w:jc w:val="center"/>
        </w:trPr>
        <w:tc>
          <w:tcPr>
            <w:tcW w:w="1300" w:type="dxa"/>
            <w:vAlign w:val="center"/>
          </w:tcPr>
          <w:p w14:paraId="3031A9B5" w14:textId="77777777" w:rsidR="000545C4" w:rsidRDefault="00000000">
            <w:pPr>
              <w:jc w:val="center"/>
            </w:pPr>
            <m:oMath>
              <m:sSub>
                <m:e>
                  <m:r>
                    <m:t>c</m:t>
                  </m:r>
                </m:e>
                <m:sub>
                  <m:r>
                    <m:t>0</m:t>
                  </m:r>
                </m:sub>
              </m:sSub>
            </m:oMath>
          </w:p>
        </w:tc>
        <w:tc>
          <w:tcPr>
            <w:tcW w:w="2600" w:type="dxa"/>
            <w:vAlign w:val="center"/>
          </w:tcPr>
          <w:p w14:paraId="3031C8A4" w14:textId="77777777" w:rsidR="000545C4" w:rsidRDefault="00000000">
            <w:pPr>
              <w:jc w:val="center"/>
            </w:pPr>
            <w:r>
              <w:rPr>
                <w:rFonts w:hint="eastAsia"/>
              </w:rPr>
              <w:t xml:space="preserve">探测代价的折算系数</w:t>
            </w:r>
          </w:p>
        </w:tc>
        <w:tc>
          <w:tcPr>
            <w:tcW w:w="2600" w:type="dxa"/>
            <w:vAlign w:val="center"/>
          </w:tcPr>
          <w:p w14:paraId="3031E793" w14:textId="77777777" w:rsidR="000545C4" w:rsidRDefault="00000000">
            <w:pPr>
              <w:jc w:val="center"/>
            </w:pPr>
            <w:r>
              <w:rPr>
                <w:rFonts w:hint="eastAsia"/>
              </w:rPr>
              <w:t xml:space="preserve">0.01</w:t>
            </w:r>
          </w:p>
        </w:tc>
        <w:tc>
          <w:tcPr>
            <w:tcW w:w="3478" w:type="dxa"/>
            <w:vAlign w:val="center"/>
          </w:tcPr>
          <w:p w14:paraId="30320682" w14:textId="77777777" w:rsidR="000545C4" w:rsidRDefault="00000000">
            <w:pPr>
              <w:jc w:val="center"/>
            </w:pPr>
            <w:r>
              <w:rPr>
                <w:rFonts w:hint="eastAsia"/>
              </w:rPr>
              <w:t xml:space="preserve">探测开销紧张时调高</w:t>
            </w:r>
          </w:p>
        </w:tc>
      </w:tr>
      <w:tr>
        <w:trPr>
          <w:jc w:val="center"/>
        </w:trPr>
        <w:tc>
          <w:tcPr>
            <w:tcW w:w="1300" w:type="dxa"/>
            <w:vAlign w:val="center"/>
          </w:tcPr>
          <w:p w14:paraId="30322571" w14:textId="77777777" w:rsidR="000545C4" w:rsidRDefault="00000000">
            <w:pPr>
              <w:jc w:val="center"/>
            </w:pPr>
            <m:oMath>
              <m:sSub>
                <m:e>
                  <m:r>
                    <m:t>T</m:t>
                  </m:r>
                </m:e>
                <m:sub>
                  <m:r>
                    <m:rPr>
                      <m:sty m:val="p"/>
                    </m:rPr>
                    <m:t>c</m:t>
                  </m:r>
                  <m:r>
                    <m:rPr>
                      <m:sty m:val="p"/>
                    </m:rPr>
                    <m:t>a</m:t>
                  </m:r>
                  <m:r>
                    <m:rPr>
                      <m:sty m:val="p"/>
                    </m:rPr>
                    <m:t>l</m:t>
                  </m:r>
                </m:sub>
              </m:sSub>
            </m:oMath>
          </w:p>
        </w:tc>
        <w:tc>
          <w:tcPr>
            <w:tcW w:w="2600" w:type="dxa"/>
            <w:vAlign w:val="center"/>
          </w:tcPr>
          <w:p w14:paraId="30324460" w14:textId="77777777" w:rsidR="000545C4" w:rsidRDefault="00000000">
            <w:pPr>
              <w:jc w:val="center"/>
            </w:pPr>
            <w:r>
              <w:rPr>
                <w:rFonts w:hint="eastAsia"/>
              </w:rPr>
              <w:t xml:space="preserve">重新标定的间隔</w:t>
            </w:r>
          </w:p>
        </w:tc>
        <w:tc>
          <w:tcPr>
            <w:tcW w:w="2600" w:type="dxa"/>
            <w:vAlign w:val="center"/>
          </w:tcPr>
          <w:p w14:paraId="3032634F" w14:textId="77777777" w:rsidR="000545C4" w:rsidRDefault="00000000">
            <w:pPr>
              <w:jc w:val="center"/>
            </w:pPr>
            <w:r>
              <w:rPr>
                <w:rFonts w:hint="eastAsia"/>
              </w:rPr>
              <w:t xml:space="preserve">每五百次决策</w:t>
            </w:r>
          </w:p>
        </w:tc>
        <w:tc>
          <w:tcPr>
            <w:tcW w:w="3478" w:type="dxa"/>
            <w:vAlign w:val="center"/>
          </w:tcPr>
          <w:p w14:paraId="3032823E" w14:textId="77777777" w:rsidR="000545C4" w:rsidRDefault="00000000">
            <w:pPr>
              <w:jc w:val="center"/>
            </w:pPr>
            <w:r>
              <w:rPr>
                <w:rFonts w:hint="eastAsia"/>
              </w:rPr>
              <w:t xml:space="preserve">策略变化快时缩短</w:t>
            </w:r>
          </w:p>
        </w:tc>
      </w:tr>
      <w:tr>
        <w:trPr>
          <w:jc w:val="center"/>
        </w:trPr>
        <w:tc>
          <w:tcPr>
            <w:tcW w:w="1300" w:type="dxa"/>
            <w:vAlign w:val="center"/>
          </w:tcPr>
          <w:p w14:paraId="3032A12D" w14:textId="77777777" w:rsidR="000545C4" w:rsidRDefault="00000000">
            <w:pPr>
              <w:jc w:val="center"/>
            </w:pPr>
            <m:oMath>
              <m:r>
                <m:t>M</m:t>
              </m:r>
            </m:oMath>
          </w:p>
        </w:tc>
        <w:tc>
          <w:tcPr>
            <w:tcW w:w="2600" w:type="dxa"/>
            <w:vAlign w:val="center"/>
          </w:tcPr>
          <w:p w14:paraId="3032C01C" w14:textId="77777777" w:rsidR="000545C4" w:rsidRDefault="00000000">
            <w:pPr>
              <w:jc w:val="center"/>
            </w:pPr>
            <w:r>
              <w:rPr>
                <w:rFonts w:hint="eastAsia"/>
              </w:rPr>
              <w:t xml:space="preserve">模型池大小</w:t>
            </w:r>
          </w:p>
        </w:tc>
        <w:tc>
          <w:tcPr>
            <w:tcW w:w="2600" w:type="dxa"/>
            <w:vAlign w:val="center"/>
          </w:tcPr>
          <w:p w14:paraId="3032DF0B" w14:textId="77777777" w:rsidR="000545C4" w:rsidRDefault="00000000">
            <w:pPr>
              <w:jc w:val="center"/>
            </w:pPr>
            <w:r>
              <w:rPr>
                <w:rFonts w:hint="eastAsia"/>
              </w:rPr>
              <w:t xml:space="preserve">3</w:t>
            </w:r>
          </w:p>
        </w:tc>
        <w:tc>
          <w:tcPr>
            <w:tcW w:w="3478" w:type="dxa"/>
            <w:vAlign w:val="center"/>
          </w:tcPr>
          <w:p w14:paraId="3032FDFA" w14:textId="77777777" w:rsidR="000545C4" w:rsidRDefault="00000000">
            <w:pPr>
              <w:jc w:val="center"/>
            </w:pPr>
            <w:r>
              <w:rPr>
                <w:rFonts w:hint="eastAsia"/>
              </w:rPr>
              <w:t xml:space="preserve">增大可提高分歧信号质量但线性增加开销</w:t>
            </w:r>
          </w:p>
        </w:tc>
      </w:tr>
    </w:tbl>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六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B794" w14:textId="77777777" w:rsidR="000545C4" w:rsidRDefault="00000000">
      <w:pPr/>
      <w:r>
        <w:rPr>
          <w:rFonts w:hint="eastAsia"/>
        </w:rPr>
        <w:t xml:space="preserve">4.2.1 实验一：验收信号的失效刻画</w:t>
      </w:r>
    </w:p>
    <w:p w14:paraId="3033D683" w14:textId="77777777" w:rsidR="000545C4" w:rsidRDefault="00000000">
      <w:pPr>
        <w:ind w:firstLineChars="200" w:firstLine="420"/>
      </w:pPr>
      <w:r>
        <w:rPr>
          <w:rFonts w:hint="eastAsia"/>
        </w:rPr>
        <w:t xml:space="preserve">这一组用来确认问题设定成立，即模型行为信号在部分干净数据上会给出与有害性相反的读数。干净分布外层由随机游走、阶梯、脉冲串与锯齿四种合成形态构成，真实跨域层取自 Exchange 且不做注入，两组数据都是干净的且都属于分布外。按形态分别统计行为风险的分布并作对照，若信号度量的是可预测程度，两组的读数会分居两端。同时统计各层的编辑经济学，即每破坏单位方差换到的效用增益</w:t>
      </w:r>
      <w:r>
        <w:rPr>
          <w:rFonts w:hint="eastAsia"/>
        </w:rPr>
        <w:t xml:space="preserve"> </w:t>
      </w:r>
      <m:oMath>
        <m:r>
          <m:t>Δ</m:t>
        </m:r>
        <m:r>
          <m:t>U</m:t>
        </m:r>
        <m:r>
          <m:rPr>
            <m:sty m:val="p"/>
          </m:rPr>
          <m:t>/</m:t>
        </m:r>
        <m:r>
          <m:t>Δ</m:t>
        </m:r>
        <m:r>
          <m:rPr>
            <m:sty m:val="p"/>
          </m:rPr>
          <m:t>V</m:t>
        </m:r>
        <m:r>
          <m:rPr>
            <m:sty m:val="p"/>
          </m:rPr>
          <m:t>a</m:t>
        </m:r>
        <m:r>
          <m:rPr>
            <m:sty m:val="p"/>
          </m:rPr>
          <m:t>r</m:t>
        </m:r>
      </m:oMath>
      <w:r>
        <w:rPr>
          <w:rFonts w:hint="eastAsia"/>
        </w:rPr>
        <w:t xml:space="preserve">。</w:t>
      </w:r>
    </w:p>
    <w:p w14:paraId="3033F572" w14:textId="77777777" w:rsidR="000545C4" w:rsidRDefault="00000000">
      <w:pPr/>
    </w:p>
    <w:p w14:paraId="30341461" w14:textId="77777777" w:rsidR="000545C4" w:rsidRDefault="00000000">
      <w:pPr/>
      <w:r>
        <w:rPr>
          <w:rFonts w:hint="eastAsia"/>
        </w:rPr>
        <w:t xml:space="preserve">4.2.2 实验二：屏蔽作为奖励塑形器的作用</w:t>
      </w:r>
    </w:p>
    <w:p w14:paraId="30343350" w14:textId="77777777" w:rsidR="000545C4" w:rsidRDefault="00000000">
      <w:pPr>
        <w:ind w:firstLineChars="200" w:firstLine="420"/>
      </w:pPr>
      <w:r>
        <w:rPr>
          <w:rFonts w:hint="eastAsia"/>
        </w:rPr>
        <w:t xml:space="preserve">这一组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712E" w14:textId="77777777" w:rsidR="000545C4" w:rsidRDefault="00000000">
      <w:pPr/>
      <w:r>
        <w:rPr>
          <w:rFonts w:hint="eastAsia"/>
        </w:rPr>
        <w:t xml:space="preserve">4.2.3 实验三：探索的结构安全性</w:t>
      </w:r>
    </w:p>
    <w:p w14:paraId="3034901D" w14:textId="77777777" w:rsidR="000545C4" w:rsidRDefault="00000000">
      <w:pPr>
        <w:ind w:firstLineChars="200" w:firstLine="420"/>
      </w:pPr>
      <w:r>
        <w:rPr>
          <w:rFonts w:hint="eastAsia"/>
        </w:rPr>
        <w:t xml:space="preserve">这一组验证定理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CDFB" w14:textId="77777777" w:rsidR="000545C4" w:rsidRDefault="00000000">
      <w:pPr/>
      <w:r>
        <w:rPr>
          <w:rFonts w:hint="eastAsia"/>
        </w:rPr>
        <w:t xml:space="preserve">4.2.4 实验四：策略学习的收益</w:t>
      </w:r>
    </w:p>
    <w:p w14:paraId="3034ECEA" w14:textId="77777777" w:rsidR="000545C4" w:rsidRDefault="00000000">
      <w:pPr>
        <w:ind w:firstLineChars="200" w:firstLine="420"/>
      </w:pPr>
      <w:r>
        <w:rPr>
          <w:rFonts w:hint="eastAsia"/>
        </w:rPr>
        <w:t>这一组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由于经屏蔽裁决的候选中接受率本身不高，即使最有利的画像簇也只有约两成通过，策略学习的收益主要来自抑制无望提议，损害与修复上的改善预计温和，主要差距应出现在预算效率一组。</w:t>
      </w:r>
    </w:p>
    <w:p w14:paraId="30350BD9" w14:textId="77777777" w:rsidR="000545C4" w:rsidRDefault="00000000">
      <w:pPr/>
    </w:p>
    <w:p w14:paraId="30352AC8" w14:textId="77777777" w:rsidR="000545C4" w:rsidRDefault="00000000">
      <w:pPr/>
      <w:r>
        <w:rPr>
          <w:rFonts w:hint="eastAsia"/>
        </w:rPr>
        <w:t xml:space="preserve">4.2.5 实验五：预算分配的效率</w:t>
      </w:r>
    </w:p>
    <w:p w14:paraId="303549B7" w14:textId="77777777" w:rsidR="000545C4" w:rsidRDefault="00000000">
      <w:pPr>
        <w:ind w:firstLineChars="200" w:firstLine="420"/>
      </w:pPr>
      <w:r>
        <w:rPr>
          <w:rFonts w:hint="eastAsia"/>
        </w:rPr>
        <w:t xml:space="preserve">这一组检验按价值分配探测预算是否优于均匀分配。固定语料总预算，比较均匀分配、按风险分数分配与本文按价值估计分配三种方式。曲线的横轴取计算开销，这样打分族可以一并参与，因为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八百个训练窗口上跳过 124 个，省下 663 次探测，而被跳过的窗口中有 24 个含真实污染，漏检率为百分之十九点四，按缺陷类型为重复片段 9 个、噪声 9 个、尖峰 6 个。只报节省不报漏检会让这一机制显得没有代价。</w:t>
      </w:r>
    </w:p>
    <w:p w14:paraId="303568A6" w14:textId="77777777" w:rsidR="000545C4" w:rsidRDefault="00000000">
      <w:pPr/>
    </w:p>
    <w:p w14:paraId="30358795" w14:textId="77777777" w:rsidR="000545C4" w:rsidRDefault="00000000">
      <w:pPr/>
      <w:r>
        <w:rPr>
          <w:rFonts w:hint="eastAsia"/>
        </w:rPr>
        <w:t xml:space="preserve">4.2.6 实验六：屏蔽的收益与代价</w:t>
      </w:r>
    </w:p>
    <w:p w14:paraId="3035A684" w14:textId="77777777" w:rsidR="000545C4" w:rsidRDefault="00000000">
      <w:pPr>
        <w:ind w:firstLineChars="200" w:firstLine="420"/>
      </w:pPr>
      <w:r>
        <w:rPr>
          <w:rFonts w:hint="eastAsia"/>
        </w:rPr>
        <w:t xml:space="preserve">这一组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5E462" w14:textId="77777777" w:rsidR="000545C4" w:rsidRDefault="00000000">
      <w:pPr/>
      <w:r>
        <w:rPr>
          <w:rFonts w:hint="eastAsia"/>
        </w:rPr>
        <w:t xml:space="preserve">4.2.7 实验七：与提议策略的解耦</w:t>
      </w:r>
    </w:p>
    <w:p w14:paraId="30360351" w14:textId="77777777" w:rsidR="000545C4" w:rsidRDefault="00000000">
      <w:pPr>
        <w:ind w:firstLineChars="200" w:firstLine="420"/>
      </w:pPr>
      <w:r>
        <w:rPr>
          <w:rFonts w:hint="eastAsia"/>
        </w:rPr>
        <w:t>这一组验证屏蔽与策略学习可以外挂到不同的动作来源上。把提议者依次替换为随机策略、SCREEN、IMR、MTCSC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412F" w14:textId="77777777" w:rsidR="000545C4" w:rsidRDefault="00000000">
      <w:pPr/>
      <w:r>
        <w:rPr>
          <w:rFonts w:hint="eastAsia"/>
        </w:rPr>
        <w:t xml:space="preserve">4.2.8 实验八：模块消融与敏感性</w:t>
      </w:r>
    </w:p>
    <w:p w14:paraId="3036601E" w14:textId="77777777" w:rsidR="000545C4" w:rsidRDefault="00000000">
      <w:pPr>
        <w:ind w:firstLineChars="200" w:firstLine="420"/>
      </w:pPr>
      <w:r>
        <w:rPr>
          <w:rFonts w:hint="eastAsia"/>
        </w:rPr>
        <w:t xml:space="preserve">这一组量化各模块的边际贡献并检验方法对超参数的稳健性。消融包含无屏蔽、无效用条件、无结构条件、无同类校准、无策略学习、无预算分配与完整方法七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 </w:t>
      </w:r>
      <w:r>
        <w:rPr>
          <w:rFonts w:hint="eastAsia"/>
        </w:rPr>
        <w:t xml:space="preserve">与探索系数</w:t>
      </w:r>
      <w:r>
        <w:rPr>
          <w:rFonts w:hint="eastAsia"/>
        </w:rPr>
        <w:t xml:space="preserve"> </w:t>
      </w:r>
      <m:oMath>
        <m:sSub>
          <m:e>
            <m:r>
              <m:t>c</m:t>
            </m:r>
          </m:e>
          <m:sub>
            <m:r>
              <m:t>u</m:t>
            </m:r>
          </m:sub>
        </m:sSub>
      </m:oMath>
      <w:r>
        <w:rPr>
          <w:rFonts w:hint="eastAsia"/>
        </w:rPr>
        <w:t xml:space="preserve">，并对照代理模型与真实基础模型两种探测器。</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本文面向时序基础模型的语料治理问题，提出屏蔽强化学习驱动的智能体 IntroAct-TS。该方法把每次数据修改当作一次待验证的干预，由双证据状态构建、沙箱干预重测、共形标定的双信号屏蔽与屏蔽反馈策略优化四个模块构成闭环。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五条性质及其证明，涵盖合取屏蔽的损害单调性、非阻塞性、任意策略下的结构安全性、共形风险控制以及屏蔽动作空间上的遗憾界。</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本章记录当前实现中遇到的主要问题、由此确定的改进方向与目前的进度。已发现的问题分三类，一类是实现缺陷，改正后现象消失，一类是设计取舍带来的固有限制，另一类源于实验设计本身。</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同类校准未能提升判别力，属设计取舍暴露出的限制。问题出在被校准的量上，行为信号反映窗口的可预测程度，任何标准化都无法把这一混杂剥离。这一发现同时说明该信号不适合单独充当奖励。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结构条件在整条序列重写的候选上出现反向筛选，属实现缺陷。根因是这类候选被路由到未经标定的计算路径，令其声明实际改动的点集之后该现象消失。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下游任务上未观测到正向增益，同样是设计取舍的结果。方法只修改了语料中不足百分之八的窗口，改动量过小，现有下游协议无法分辨，下游部分因此只保留防御性结论。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候选有害率的高值主要由语料构成决定。受保护层占已发表方法候选的一半以上，而在干净窗口上任何编辑按定义都增加误差。准确的表述是这些方法有一半以上的编辑落在不该动的数据上。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共形保证在跨语料设定下失效，属实验设计问题。校准集与部署数据的可交换性不成立，改为同一池的随机划分后保证恢复。引入策略学习之后，策略更新同样会破坏可交换性，需要通过定期重新标定来控制。</w:t>
      </w:r>
    </w:p>
    <w:p w14:paraId="3037F241" w14:textId="77777777" w:rsidR="000545C4" w:rsidRDefault="00000000">
      <w:pPr>
        <w:pStyle w:val="aff5"/>
        <w:numPr>
          <w:ilvl w:val="0"/>
          <w:numId w:val="7"/>
        </w:numPr>
        <w:spacing w:after="0" w:line="240" w:lineRule="auto"/>
        <w:ind w:firstLineChars="0" w:firstLine="0"/>
      </w:pPr>
      <w:r>
        <w:rPr>
          <w:rFonts w:hint="eastAsia"/>
          <w:b/>
          <w:bCs/>
        </w:rPr>
        <w:t>可学结构集中在单一算子上。按画像簇与算子交叉统计固定规则策略的接受率，插补的接受率在簇之间存在可检出的差异，而重分段在任何簇数下都没有，去尖峰随簇数增大迅速失去显著性，更像分辨率不足，去噪的候选数太少且低期望频数格子过多，不作为独立证据。策略学习的收益因而集中在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固定规则策略存在系统性盲区。在簇与算子的全部组合中有四分之一从未被访问，其中两格合计覆盖语料近两成的窗口，而固定规则在这些窗口上一次也没有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画像簇不是分层标签的重述。簇与分层标签的调整互信息很低，说明画像几何捕捉的结构与人工分层基本正交。若两者高度一致，则接受率随簇变化这一现象将只是接受率随分层变化的换一种说法，而分层信息 CDP 已经以缺陷假设的形式给出，策略学习不会带来新信息。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 xml:space="preserve">长时间运行的实验统一经监控工具启动，它在进入主循环之前做前置断言，检查模型池大小、输出目录可写、磁盘余量与配置哈希，任一不满足即中止而不是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