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而语料治理有一处特殊的困难，一次修改是否有害取决于被修改的那段数据，不取决于修改本身。同一个去尖峰算子作用在传感器故障上是修复，作用在真实发生的极端事件上是破坏，因此有害与否无法在动作执行之前判定。已有方法或者不动手只给样本打分，或者动手之后不再回头核对，都没有正面处理这一点。本文把判定推迟到执行之后，并把执行放在副本上，使判错的动作可以撤回。这一个决定引出两个必须解决的问题。事后判定需要依据，而能报告修改效果的只有目标模型，模型在被抹平的数据上给出的读数与有害性方向相反，单凭它会放行破坏性的修改，本文因此要求模型效用与时序结构两个相互独立的条件同时成立才允许提交，并用共形风险控制把结构条件的阈值标定到给定的损害率上。判定的结果同时是一次反馈，策略可以据此改进动作选择，而试错既然发生在副本上，学习过程本身就不修改语料。屏蔽因而承担双重职责，它拦下破坏性动作，也决定了哪些奖励能够到达策略。本文给出六条定理与一条命题及其证明，涵盖合取判定的损害单调性、非阻塞性、任意策略下的结构安全性、共形风险控制、标定间隔内保证退化的上界与屏蔽动作空间上的遗憾界，并说明把结构约束写成惩罚项时损害率存在不可消除的下界，在此基础上规划了九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设备状态监测、电力负荷调度与金融风险评估正在把预测任务交给同一类模型。时序基础模型在大规模多来源语料上预训练，再迁移到预测、分类与插补等下游任务[1-4]，一套权重覆盖了此前需要逐个场景单独建模的工作。随着模型结构收敛到少数几种成熟设计，能力的上限不再由架构决定。决定它的是投喂进去的语料，也就是从传感器、交易系统与监测终端持续采集下来的原始时序记录，这些记录规模巨大且未经整理。</w:t>
      </w:r>
    </w:p>
    <w:p w14:paraId="3000B99A" w14:textId="77777777" w:rsidR="000545C4" w:rsidRDefault="00000000">
      <w:pPr>
        <w:ind w:firstLineChars="200" w:firstLine="420"/>
      </w:pPr>
      <w:r>
        <w:rPr>
          <w:rFonts w:hint="eastAsia"/>
        </w:rPr>
        <w:t xml:space="preserve">一份可用于预训练的时序语料应当同时满足两个条件。一是结构完备，语料要覆盖设备或市场实际出现过的各种运行模态，既包括常规工况，也包括状态切换与罕见但真实发生的极端事件，模型只有在训练中见过这些形态，部署时才可能认得出来。二是信噪可控，传感器故障、通信丢包与记录错误带来的失真应当尽量少，这类失真一旦留在语料里就会被模型当作规律学习。原始采集在这两个条件上都没有保证，而两者还会彼此纠缠，因为削掉失真的动作同样会削掉极端事件。</w:t>
      </w:r>
    </w:p>
    <w:p w14:paraId="3000B99A" w14:textId="77777777" w:rsidR="000545C4" w:rsidRDefault="00000000">
      <w:pPr>
        <w:ind w:firstLineChars="200" w:firstLine="420"/>
      </w:pPr>
      <w:r>
        <w:rPr>
          <w:rFonts w:hint="eastAsia"/>
        </w:rPr>
        <w:t xml:space="preserve">把这两个条件同时做到，难点在于判断某一次具体的修改该不该做。以电力变压器监测语料为例，设备检修期间的一段水平漂移应当处理，它会让模型把异常水平当作正常基线，在随后的正常时段给出系统性偏高的预测，误差可以持续到漂移结束很久之后。而一次真实发生的负荷突增在波形上与故障尖峰几乎一致，它却正是结构完备性所依赖的那部分数据，削掉它等于删去模型最需要学习的稀有模态。两者的区别不在算子也不在参数，同一个去尖峰算子带同样的参数施加下去，前者是修复，后者是破坏，结果取决于那段数据里原本承载着什么。有害与否因此无法在动作执行之前判定，这是本文要处理的核心困难。</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围绕这一困难，已有工作沿三条路线展开，各自的判定时刻与判错后果见表 1。</w:t>
      </w:r>
    </w:p>
    <w:p w14:paraId="300D69A1" w14:textId="77777777" w:rsidR="000545C4" w:rsidRDefault="00000000">
      <w:pPr>
        <w:ind w:firstLineChars="200" w:firstLine="420"/>
      </w:pPr>
      <w:r>
        <w:rPr>
          <w:rFonts w:hint="eastAsia"/>
        </w:rPr>
        <w:t xml:space="preserve">表 1 面向时序数据的治理与选择方法对比</w:t>
      </w:r>
    </w:p>
    <w:tbl>
      <w:tblPr>
        <w:tblW w:type="auto" w:w="0"/>
        <w:tblLook w:firstColumn="1" w:firstRow="1" w:lastColumn="0" w:lastRow="0" w:noHBand="0" w:noVBand="1" w:val="04A0"/>
      </w:tblPr>
      <w:tblGrid>
        <w:gridCol w:w="1996"/>
        <w:gridCol w:w="1996"/>
        <w:gridCol w:w="1996"/>
        <w:gridCol w:w="1996"/>
        <w:gridCol w:w="1996"/>
      </w:tblGrid>
      <w:tr>
        <w:tc>
          <w:tcPr>
            <w:tcW w:type="dxa" w:w="1996"/>
          </w:tcPr>
          <w:p>
            <w:r>
              <w:t>路线</w:t>
            </w:r>
          </w:p>
        </w:tc>
        <w:tc>
          <w:tcPr>
            <w:tcW w:type="dxa" w:w="1996"/>
          </w:tcPr>
          <w:p>
            <w:r>
              <w:t>代表工作</w:t>
            </w:r>
          </w:p>
        </w:tc>
        <w:tc>
          <w:tcPr>
            <w:tcW w:type="dxa" w:w="1996"/>
          </w:tcPr>
          <w:p>
            <w:r>
              <w:t>判定时刻</w:t>
            </w:r>
          </w:p>
        </w:tc>
        <w:tc>
          <w:tcPr>
            <w:tcW w:type="dxa" w:w="1996"/>
          </w:tcPr>
          <w:p>
            <w:r>
              <w:t>判定依据</w:t>
            </w:r>
          </w:p>
        </w:tc>
        <w:tc>
          <w:tcPr>
            <w:tcW w:type="dxa" w:w="1996"/>
          </w:tcPr>
          <w:p>
            <w:r>
              <w:t>判错之后</w:t>
            </w:r>
          </w:p>
        </w:tc>
      </w:tr>
      <w:tr>
        <w:tc>
          <w:tcPr>
            <w:tcW w:type="dxa" w:w="1996"/>
          </w:tcPr>
          <w:p>
            <w:r>
              <w:t>修复式清洗</w:t>
            </w:r>
          </w:p>
        </w:tc>
        <w:tc>
          <w:tcPr>
            <w:tcW w:type="dxa" w:w="1996"/>
          </w:tcPr>
          <w:p>
            <w:r>
              <w:t>SCREEN[5] IMR[6] MTCSC[8]</w:t>
            </w:r>
          </w:p>
        </w:tc>
        <w:tc>
          <w:tcPr>
            <w:tcW w:type="dxa" w:w="1996"/>
          </w:tcPr>
          <w:p>
            <w:r>
              <w:t>执行之前</w:t>
            </w:r>
          </w:p>
        </w:tc>
        <w:tc>
          <w:tcPr>
            <w:tcW w:type="dxa" w:w="1996"/>
          </w:tcPr>
          <w:p>
            <w:r>
              <w:t>先验约束或自回归残差</w:t>
            </w:r>
          </w:p>
        </w:tc>
        <w:tc>
          <w:tcPr>
            <w:tcW w:type="dxa" w:w="1996"/>
          </w:tcPr>
          <w:p>
            <w:r>
              <w:t>原值已被覆盖</w:t>
            </w:r>
          </w:p>
        </w:tc>
      </w:tr>
      <w:tr>
        <w:tc>
          <w:tcPr>
            <w:tcW w:type="dxa" w:w="1996"/>
          </w:tcPr>
          <w:p>
            <w:r>
              <w:t>打分式选择</w:t>
            </w:r>
          </w:p>
        </w:tc>
        <w:tc>
          <w:tcPr>
            <w:tcW w:type="dxa" w:w="1996"/>
          </w:tcPr>
          <w:p>
            <w:r>
              <w:t>Data Shapley[9] Data-OOB[10]</w:t>
              <w:br/>
              <w:t>TimeInf[11] TSRating[12]</w:t>
            </w:r>
          </w:p>
        </w:tc>
        <w:tc>
          <w:tcPr>
            <w:tcW w:type="dxa" w:w="1996"/>
          </w:tcPr>
          <w:p>
            <w:r>
              <w:t>不产生动作</w:t>
            </w:r>
          </w:p>
        </w:tc>
        <w:tc>
          <w:tcPr>
            <w:tcW w:type="dxa" w:w="1996"/>
          </w:tcPr>
          <w:p>
            <w:r>
              <w:t>样本对模型的估计贡献</w:t>
            </w:r>
          </w:p>
        </w:tc>
        <w:tc>
          <w:tcPr>
            <w:tcW w:type="dxa" w:w="1996"/>
          </w:tcPr>
          <w:p>
            <w:r>
              <w:t>整窗丢弃</w:t>
            </w:r>
          </w:p>
        </w:tc>
      </w:tr>
      <w:tr>
        <w:tc>
          <w:tcPr>
            <w:tcW w:type="dxa" w:w="1996"/>
          </w:tcPr>
          <w:p>
            <w:r>
              <w:t>学习式编排</w:t>
            </w:r>
          </w:p>
        </w:tc>
        <w:tc>
          <w:tcPr>
            <w:tcW w:type="dxa" w:w="1996"/>
          </w:tcPr>
          <w:p>
            <w:r>
              <w:t>清洗智能体[13]</w:t>
            </w:r>
          </w:p>
        </w:tc>
        <w:tc>
          <w:tcPr>
            <w:tcW w:type="dxa" w:w="1996"/>
          </w:tcPr>
          <w:p>
            <w:r>
              <w:t>执行之前</w:t>
            </w:r>
          </w:p>
        </w:tc>
        <w:tc>
          <w:tcPr>
            <w:tcW w:type="dxa" w:w="1996"/>
          </w:tcPr>
          <w:p>
            <w:r>
              <w:t>下游反馈的期望回报</w:t>
            </w:r>
          </w:p>
        </w:tc>
        <w:tc>
          <w:tcPr>
            <w:tcW w:type="dxa" w:w="1996"/>
          </w:tcPr>
          <w:p>
            <w:r>
              <w:t>痕迹留在语料上</w:t>
            </w:r>
          </w:p>
        </w:tc>
      </w:tr>
      <w:tr>
        <w:tc>
          <w:tcPr>
            <w:tcW w:type="dxa" w:w="1996"/>
          </w:tcPr>
          <w:p>
            <w:r>
              <w:t>本文</w:t>
            </w:r>
          </w:p>
        </w:tc>
        <w:tc>
          <w:tcPr>
            <w:tcW w:type="dxa" w:w="1996"/>
          </w:tcPr>
          <w:p>
            <w:r>
              <w:t>IntroAct-TS</w:t>
            </w:r>
          </w:p>
        </w:tc>
        <w:tc>
          <w:tcPr>
            <w:tcW w:type="dxa" w:w="1996"/>
          </w:tcPr>
          <w:p>
            <w:r>
              <w:t>执行之后</w:t>
            </w:r>
          </w:p>
        </w:tc>
        <w:tc>
          <w:tcPr>
            <w:tcW w:type="dxa" w:w="1996"/>
          </w:tcPr>
          <w:p>
            <w:r>
              <w:t>模型效用与时序结构合取</w:t>
            </w:r>
          </w:p>
        </w:tc>
        <w:tc>
          <w:tcPr>
            <w:tcW w:type="dxa" w:w="1996"/>
          </w:tcPr>
          <w:p>
            <w:r>
              <w:t>撤回且不留痕迹</w:t>
            </w:r>
          </w:p>
        </w:tc>
      </w:tr>
    </w:tbl>
    <w:p w14:paraId="300D69A1" w14:textId="77777777" w:rsidR="000545C4" w:rsidRDefault="00000000">
      <w:pPr>
        <w:ind w:firstLineChars="200" w:firstLine="420"/>
      </w:pPr>
      <w:r>
        <w:rPr>
          <w:rFonts w:hint="eastAsia"/>
        </w:rPr>
        <w:t xml:space="preserve">修复式清洗依靠先验规则定生死。SCREEN[5]假设相邻时间步的取值变化存在上下界，把违反约束的点拉回最近的合法取值，IMR[6]改用自回归模型逐点估计并迭代收敛，MTCSC[8]把速度约束与聚类结合以利用维度之间的相关性。这条路线的判定发生在选定算子的那一刻，规则一旦给出，改写就直接作用在原值上。</w:t>
      </w:r>
    </w:p>
    <w:p w14:paraId="300D69A1" w14:textId="77777777" w:rsidR="000545C4" w:rsidRDefault="00000000">
      <w:pPr>
        <w:ind w:firstLineChars="200" w:firstLine="420"/>
      </w:pPr>
      <w:r>
        <w:rPr>
          <w:rFonts w:hint="eastAsia"/>
        </w:rPr>
        <w:t xml:space="preserve">打分式选择只估值不动手。Data Shapley[9]用合作博弈中的 Shapley 值刻画样本对模型的贡献，Data-OOB[10]借助袋外估计把这一估计的开销降到可接受范围，TimeInf[11]把影响函数定义在时间块上以保留时序结构，TSRating[12]则用大模型的成对比较蒸馏出轻量评分器。这条路线产出的是分数与排序，语料按分数取舍而不被改写。</w:t>
      </w:r>
    </w:p>
    <w:p w14:paraId="300D69A1" w14:textId="77777777" w:rsidR="000545C4" w:rsidRDefault="00000000">
      <w:pPr>
        <w:ind w:firstLineChars="200" w:firstLine="420"/>
      </w:pPr>
      <w:r>
        <w:rPr>
          <w:rFonts w:hint="eastAsia"/>
        </w:rPr>
        <w:t xml:space="preserve">学习式编排让策略从反馈中改进。清洗智能体[13]用分层策略决定在什么窗口上调用哪个清洗算子，并把下游误差的变化作为回报。策略确实可以随训练变好，代价是算子在训练过程中立即生效。</w:t>
      </w:r>
    </w:p>
    <w:p w14:paraId="300D8890" w14:textId="77777777" w:rsidR="000545C4" w:rsidRDefault="00000000">
      <w:pPr>
        <w:ind w:firstLineChars="200" w:firstLine="420"/>
      </w:pPr>
      <w:r>
        <w:rPr>
          <w:rFonts w:hint="eastAsia"/>
        </w:rPr>
        <w:t xml:space="preserve">三条路线各有代价，而代价的形状恰好互补。修复式清洗动了手，判定时刻与执行时刻却重合在一起，选错就是破坏，没有回头的余地。打分式选择留住了安全，因为它根本不动手，代价是面对一段只在局部含有尖峰的窗口只能整体丢弃，尖峰之外完好的部分一并舍去。学习式编排试图兼得，让策略从错误中学习，可它的每一次错误探索都真实地落在语料上，学得越多损坏越多。三者共同的盲区在于都把判定放在了执行之前，而一次编辑是否有害，答案写在执行之后的效果里。</w:t>
      </w:r>
    </w:p>
    <w:p w14:paraId="300DC66E" w14:textId="77777777" w:rsidR="000545C4" w:rsidRDefault="00000000">
      <w:pPr>
        <w:ind w:firstLineChars="200" w:firstLine="420"/>
      </w:pPr>
      <w:r>
        <w:rPr>
          <w:rFonts w:hint="eastAsia"/>
        </w:rPr>
        <w:t xml:space="preserve">把判定移到执行之后，就不再需要事先写出只关于算子与参数的安全规则，因为这时可以直接看到修改造成的后果。移动判定的前提是执行可以撤回，本文因此把候选动作施加在工作副本的拷贝上，原副本只在判定通过时才被替换。这样一来判定依据成为新的问题，能报告修改效果的仪器只有目标模型，而模型在被抹平的数据上给出的读数与有害性方向相反，单凭它去判定恰恰会放行那些最该拦下的修改，所以判定还需要一个完全不看模型的条件与之合取。判定做完之后又多出一件事可做，每一次判定都记录了某个动作在某类窗口上的实际后果，这正是策略改进所需要的反馈，而试错既然发生在副本上，学习过程本身就不修改语料。</w:t>
      </w:r>
    </w:p>
    <w:p w14:paraId="300E422A" w14:textId="77777777" w:rsidR="000545C4" w:rsidRDefault="00000000">
      <w:pPr>
        <w:ind w:firstLineChars="200" w:firstLine="420"/>
      </w:pPr>
      <w:r>
        <w:rPr>
          <w:rFonts w:hint="eastAsia"/>
        </w:rPr>
        <w:t xml:space="preserve">按照这一思路，本文提出屏蔽强化学习驱动的时序数据治理智能体 IntroAct-TS，把治理建模为带预算的受约束序贯决策，一次决策依次经过取证、试执行、判定与学习四个环节。图 1 用一对窗口说明这一过程如何分开两种表面相似的情形。</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中的两个窗口来自同一份语料，波形上几乎一致。上方是传感器故障造成的孤立尖峰，下方是一次真实发生的极端峰值。两个窗口先由状态构建从自身统计画像与冻结模型的行为反应中取证，随后由沙箱重测把去尖峰算子施加在副本的拷贝上，原数据在此期间保持不变。重测显示两次编辑都让模型误差下降，因此仅凭效用读数无法把它们分开，抹平极值同样会让模型更容易预测。判定环节因而在效用之外核验编辑前后的局部结构是否保持一致，上方窗口的尖峰属于孤立扰动，去掉之后邻域形态不变，判定通过并提交，下方窗口的峰值与前后走势连成一体，削平之后局部结构显著改变，判定不通过并撤回。试执行与双信号判定的组合使得同一个算子在两个窗口上得到相反的裁决，而这一对裁决同时成为策略的反馈，使它在后续遇到相似窗口时不再提出会被撤回的动作。</w:t>
      </w:r>
    </w:p>
    <w:p w14:paraId="300EFBC4" w14:textId="77777777" w:rsidR="000545C4" w:rsidRDefault="00000000">
      <w:pPr/>
    </w:p>
    <w:p w14:paraId="300F1AB3" w14:textId="77777777" w:rsidR="000545C4" w:rsidRDefault="00000000">
      <w:pPr/>
      <w:r>
        <w:rPr>
          <w:rFonts w:hint="eastAsia"/>
          <w:b/>
          <w:bCs/>
        </w:rPr>
        <w:t xml:space="preserve">上述三条路线的代价各自对应本文的一项工作，主要贡献如下。</w:t>
      </w:r>
    </w:p>
    <w:p w14:paraId="300F39A2" w14:textId="77777777" w:rsidR="000545C4" w:rsidRDefault="00000000">
      <w:pPr>
        <w:ind w:firstLineChars="200" w:firstLine="420"/>
      </w:pPr>
      <w:r>
        <w:rPr>
          <w:rFonts w:hint="eastAsia"/>
        </w:rPr>
        <w:t xml:space="preserve">（1）针对判定时刻与执行时刻重合导致选错即破坏，本文把时序数据治理形式化为屏蔽约束下的序贯干预决策，并给出对应的智能体 IntroAct-TS。该形式化把判定推迟到动作执行之后，动作在副本上试执行，判定通过才提交，因而不要求事先写出只关于动作本身的安全规则。每一次判定同时成为策略可用的反馈，安全与学习在这一设计中出自同一个决定，两者共用一次判定。</w:t>
      </w:r>
    </w:p>
    <w:p w14:paraId="300F5891" w14:textId="77777777" w:rsidR="000545C4" w:rsidRDefault="00000000">
      <w:pPr>
        <w:ind w:firstLineChars="200" w:firstLine="420"/>
      </w:pPr>
      <w:r>
        <w:rPr>
          <w:rFonts w:hint="eastAsia"/>
        </w:rPr>
        <w:t xml:space="preserve">（2）针对能报告效果的仪器只有模型而模型在被抹平的数据上给出相反读数，本文给出判定所需的双信号合取判据及其理论性质。结构条件完全不看模型意见，因而能够拦下通过抹平序列换取低误差的动作，其阈值由共形风险控制标定，使提交编辑的损害率获得有限样本的分布无关保证。本文进一步证明，把结构约束写成目标函数中的惩罚项时损害率存在不可消除的下界，而写成合取条件时没有这个下界，两种写法因此并不等价。</w:t>
      </w:r>
    </w:p>
    <w:p w14:paraId="300F7780" w14:textId="77777777" w:rsidR="000545C4" w:rsidRDefault="00000000">
      <w:pPr>
        <w:ind w:firstLineChars="200" w:firstLine="420"/>
      </w:pPr>
      <w:r>
        <w:rPr>
          <w:rFonts w:hint="eastAsia"/>
        </w:rPr>
        <w:t xml:space="preserve">（3）针对探索期的错误会真实落在语料上，本文证明策略学习不以破坏语料为代价，并刻画了保证随学习推进的退化速率。由于候选动作在副本上执行且提交需经判定，对任意策略与任意探索强度，被提交编辑的结构失真都受同一阈值约束，未通过判定的尝试不留下任何痕迹。策略更新会改变候选分布从而削弱共形标定所依赖的可交换性，本文给出两次标定之间保证退化的上界，它与标定间隔成正比、与已积累的访问次数成反比，为重新标定的频率提供了定量依据。</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本文余下部分先在第 1 章梳理相关研究，第 2 章交代判定所需的度量并把问题形式化，第 3 章按一次决策经过的四个环节给出方法与理论性质，第 4 章给出实验规划，第 5 章总结全文，第 6 章记录实现过程中遇到的问题。</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前两个方向都停在动作执行之前，第三个方向提供的约束需要事先写定，本文要做的是把三者组织成一个能够在执行之后判定并从中学习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在策略的具体形式上，本文的决策序列很短，多数窗口在一到三步内结束，状态经过特征提取后维度不高，动作集合规模有限。这样的设定接近上下文老虎机，与长程决策问题有明显距离。上下文老虎机在线性收益假设下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一次编辑是否值得提交，取决于它在两个方向上的表现，模型是否因此变得更容易处理这段数据，以及序列自身的结构是否被保住。这两个方向需要各自的度量，而度量之后还需要一个位置来施加判断，以及一种方法来确定判断的阈值。本章依次交代这四者，说明所处理的噪声类型，再把治理问题形式化为屏蔽约束下的序贯决策。</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衡量模型是否变得更容易处理一段数据，需要一个能从模型读出证据的手段。行为探测指在不更新参数的前提下，通过冻结模型对一个窗口的反应获取该窗口的证据。记窗口为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签名之所以不能只取预测误差，是因为一段被噪声污染的窗口和一段本就难以预测的窗口都会产生高误差，前者的误差集中在少数位置，后者的误差分布均匀，分位数信息能把两者分开。探测只做前向计算，不涉及梯度，单位开销远低于需要海森求逆的影响函数方法[11]，这在需要反复测量的强化学习设定下决定了方法是否可行。</w:t>
      </w:r>
    </w:p>
    <w:p w14:paraId="30131782" w14:textId="77777777" w:rsidR="000545C4" w:rsidRDefault="00000000">
      <w:pPr/>
    </w:p>
    <w:p w14:paraId="30135560" w14:textId="77777777" w:rsidR="000545C4" w:rsidRDefault="00000000">
      <w:pPr>
        <w:ind w:firstLineChars="200" w:firstLine="420"/>
      </w:pPr>
      <w:r>
        <w:rPr>
          <w:rFonts w:hint="eastAsia"/>
        </w:rPr>
        <w:t xml:space="preserve">有了行为签名，模型侧的度量可以定义出来。模型效用衡量一个窗口对目标模型的友好程度，取若干归一化误差分量的加权负和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为对应权重。各分量都是越小越好，整体取负号后</w:t>
      </w:r>
      <w:r>
        <w:rPr>
          <w:rFonts w:hint="eastAsia"/>
        </w:rPr>
        <w:t xml:space="preserve"> </w:t>
      </w:r>
      <m:oMath>
        <m:r>
          <m:t>U</m:t>
        </m:r>
      </m:oMath>
      <w:r>
        <w:rPr>
          <w:rFonts w:hint="eastAsia"/>
        </w:rPr>
        <w:t xml:space="preserve"> </w:t>
      </w:r>
      <w:r>
        <w:rPr>
          <w:rFonts w:hint="eastAsia"/>
        </w:rPr>
        <w:t xml:space="preserve">越大表示窗口对模型越友好。一次候选动作</w:t>
      </w:r>
      <w:r>
        <w:rPr>
          <w:rFonts w:hint="eastAsia"/>
        </w:rPr>
        <w:t xml:space="preserve"> </w:t>
      </w:r>
      <m:oMath>
        <m:r>
          <m:t>a</m:t>
        </m:r>
      </m:oMath>
      <w:r>
        <w:rPr>
          <w:rFonts w:hint="eastAsia"/>
        </w:rPr>
        <w:t xml:space="preserve"> </w:t>
      </w:r>
      <w:r>
        <w:rPr>
          <w:rFonts w:hint="eastAsia"/>
        </w:rPr>
        <w:t xml:space="preserve">带来的效用变化写作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该差值只有在两次测量使用相同的留出跨度和相同的归一化尺度时才有意义。改变窗口长度的动作会破坏这一前提，因此同跨度同尺度是进入判据的硬性要求，具体做法见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节所述偏差的载体，在使用它的同时避免被它误导是方法设计的核心。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效用只回答了模型是否更容易处理这段数据，一个把序列抹平的动作同样能让模型更容易处理它，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是第</w:t>
      </w:r>
      <w:r>
        <w:rPr>
          <w:rFonts w:hint="eastAsia"/>
        </w:rPr>
        <w:t xml:space="preserve"> </w:t>
      </w:r>
      <m:oMath>
        <m:r>
          <m:t>j</m:t>
        </m:r>
      </m:oMath>
      <w:r>
        <w:rPr>
          <w:rFonts w:hint="eastAsia"/>
        </w:rPr>
        <w:t xml:space="preserve"> </w:t>
      </w:r>
      <w:r>
        <w:rPr>
          <w:rFonts w:hint="eastAsia"/>
        </w:rPr>
        <w:t xml:space="preserve">个属性在编辑前后的取值经该属性自身量纲归一化后的绝对差，取值在</w:t>
      </w:r>
      <w:r>
        <w:rPr>
          <w:rFonts w:hint="eastAsia"/>
        </w:rPr>
        <w:t xml:space="preserve"> </w:t>
      </w:r>
      <m:oMath>
        <m:r>
          <m:rPr>
            <m:sty m:val="p"/>
          </m:rPr>
          <m:t>[</m:t>
        </m:r>
        <m:r>
          <m:t>0</m:t>
        </m:r>
        <m:r>
          <m:rPr>
            <m:sty m:val="p"/>
          </m:rPr>
          <m:t>,</m:t>
        </m:r>
        <m:r>
          <m:t>1</m:t>
        </m:r>
        <m:r>
          <m:rPr>
            <m:sty m:val="p"/>
          </m:rPr>
          <m:t>]</m:t>
        </m:r>
      </m:oMath>
      <w:r>
        <w:rPr>
          <w:rFonts w:hint="eastAsia"/>
        </w:rPr>
        <w:t xml:space="preserve">，权重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按属性对该类算子的相关性给定。加权平均之外保留最差单项，可以避免某一项上的灾难性破坏被其余项平均掉。序列尾部被整体抹平就属于这种情形，它在多数属性上看起来变化不大，只在极值一项上暴露。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两个度量都有了，还需要确定它们在哪里被施加。屏蔽[14]指在智能体与环境之间加入一层过滤器，动作生效之前先检查它是否违反给定规约，通过检查才被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屏蔽给出了施加判断的位置，判断所用的阈值还需要一种确定方式，而在无标签场景中这个阈值无法由领域知识给定。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做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噪声，按其产生机制分为随机与系统两类，这一划分决定了它们在多通道语料中留下的痕迹是否可以相互印证。随机噪声来自环境扰动、设备误差与记录不一致，作用在单个通道的有限时间范围上，表现为孤立尖峰、散点缺失、连续缺失片段与重复片段。这类噪声在通道之间彼此独立，因此一个通道上的异常在同一时刻的其余通道上找不到对应。系统噪声来自采集设备的系统性偏差、数据来源切换与传感器漂移，它同时作用在多个通道上并改变整段窗口的分布，表现为水平位移、噪声放大与平台化。这类噪声在通道之间高度相关，同一时刻的多个通道会一起偏移。</w:t>
      </w:r>
    </w:p>
    <w:p w14:paraId="3015633F" w14:textId="77777777" w:rsidR="000545C4" w:rsidRDefault="00000000">
      <w:pPr>
        <w:ind w:firstLineChars="200" w:firstLine="420"/>
      </w:pPr>
      <w:r>
        <w:rPr>
          <w:rFonts w:hint="eastAsia"/>
        </w:rPr>
        <w:t xml:space="preserve">两类噪声给治理带来的困难并不相同。随机噪声在单个窗口上留下明显的局部痕迹，统计画像对其检测能力较强，困难在于它与真实发生的极端事件在波形上几乎一致，仅凭单通道证据无法判断某个尖峰是故障还是事件。系统噪声改变整段分布，在模型行为上的表现与合法的状态切换高度相似，水平位移与设备检修后的基线变化都会抬高预测误差，仅凭模型反馈同样无法区分。在语料的尺度上还有一重困难，模型行为信号反映的是窗口对该模型的可预测程度，而窗口的可预测程度与它的质量并不等同，结构上本就复杂却完全干净的数据同样会得到高风险读数。这一偏差对基于规则的方法只是误判，对基于学习的方法则更严重，因为策略会主动朝着偏差的方向优化，把降低可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是长度固定的单通道序列，给定动作空间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，治理的目标是学习策略</w:t>
      </w:r>
      <w:r>
        <w:rPr>
          <w:rFonts w:hint="eastAsia"/>
        </w:rPr>
        <w:t xml:space="preserve"> </w:t>
      </w:r>
      <m:oMath>
        <m:r>
          <m:t>π</m:t>
        </m:r>
      </m:oMath>
      <w:r>
        <w:rPr>
          <w:rFonts w:hint="eastAsia"/>
        </w:rPr>
        <w:t xml:space="preserve">，为每个窗口选择动作序列，在提高语料对目标模型效用的同时不破坏窗口原有的时序结构，并在证据不足时不做处理。把治理过程建模为受约束的马尔可夫决策过程[17]，五个要素定义如下。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所示。该方法按状态取证、沙箱试执行、屏蔽裁决、反馈学习的顺序完成语料治理，把一个无法事先判定的问题转化为一系列可以事后核验并从中学习的单步决策。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缺少质量标签且单一证据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状态给定之后，回答某个具体动作施加下去会发生什么，同时不让这次尝试造成不可撤销的后果，由基于沙箱副本的干预重测与奖励生成算法（SIR）承担。它把候选动作作用在工作副本的拷贝上而不覆盖原值，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基于共形标定的双信号屏蔽算法（CDS）负责裁决。它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为让策略从裁决中改进并把探测预算用在更需要的地方，基于屏蔽反馈的策略优化与预算分配算法（SPO）以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上一章把治理问题写成了带预算的受约束序贯决策，余下的是如何在无标签条件下取得决策所需的证据、如何在不破坏数据的前提下测出动作的后果、如何判定一次改动可以提交，以及如何让判定的结果反过来改进后续的选择。本章按这四个环节给出具体实现与相应的理论性质，最后分析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缺少质量标签时单一证据存在盲区，CDP 因而从两个来源取证，它们的失效区域并不重合，这是把两类证据同时保留的原因。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把两类证据直接相加，盲区会叠加起来，因为它们的量纲和分布都不同。CDP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，相似度用画像向量经 L2 归一化后的余弦距离衡量，再用这组邻居的中位数与四分位距对行为签名做稳健标准化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检索到的邻居集合还有第二个用途。同一组邻居定义了一个画像簇</w:t>
      </w:r>
      <w:r>
        <w:rPr>
          <w:rFonts w:hint="eastAsia"/>
        </w:rPr>
        <w:t xml:space="preserve"> </w:t>
      </w:r>
      <m:oMath>
        <m:r>
          <m:t>j</m:t>
        </m:r>
      </m:oMath>
      <w:r>
        <w:rPr>
          <w:rFonts w:hint="eastAsia"/>
        </w:rPr>
        <w:t xml:space="preserve">，SPO 的动作价值估计正是按簇维护的，因为同一簇内的窗口在结构上相似，某个算子在其中一个窗口上有效往往意味着在其余窗口上也有效。CDP 因此既提供状态，也提供策略泛化所依赖的划分。算法 1 给出完整流程。</w:t>
      </w:r>
    </w:p>
    <w:p w14:paraId="3019DBCA" w14:textId="77777777" w:rsidR="000545C4" w:rsidRDefault="00000000">
      <w:pPr>
        <w:ind w:firstLineChars="200" w:firstLine="420"/>
      </w:pPr>
      <w:r>
        <w:rPr>
          <w:rFonts w:hint="eastAsia"/>
        </w:rPr>
        <w:t xml:space="preserve">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 4.2 节。弃权机制的情形与此类似，它在两类证据相互矛盾时拒绝处理，若语料中的窗口证据都很充分，弃权就没有触发的机会。</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状态说明了窗口可能存在什么问题，却没有回答某个具体动作施加下去会发生什么。这个问题只能通过真正执行一次动作并观察结果来回答，而强化学习需要反复尝试，语料一旦被修改就无法还原，两个要求直接冲突。SIR 把执行与提交分开，使两者可以同时满足。</w:t>
      </w:r>
    </w:p>
    <w:p w14:paraId="301BCABA" w14:textId="77777777" w:rsidR="000545C4" w:rsidRDefault="00000000">
      <w:pPr>
        <w:ind w:firstLineChars="200" w:firstLine="420"/>
      </w:pPr>
      <w:r>
        <w:rPr>
          <w:rFonts w:hint="eastAsia"/>
        </w:rPr>
        <w:t xml:space="preserve">候选动作作用在工作副本的拷贝上，得到候选窗口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给出了可比的效用读数，但 2.2 节已经指出这个信号在部分数据上与有害性方向相反。仅凭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作出裁决会放行那些通过抹平序列换取低误差的动作，而在策略需要学习的设定下，后果比一次误判严重得多，因为策略会朝着这个方向持续优化。CDS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B9AA" w14:textId="77777777" w:rsidR="000545C4" w:rsidRDefault="00000000">
      <w:pPr>
        <w:ind w:firstLineChars="200" w:firstLine="420"/>
      </w:pPr>
      <w:r>
        <w:rPr>
          <w:rFonts w:hint="eastAsia"/>
        </w:rPr>
        <w:t xml:space="preserve">把结构信息以合取条件的形式引入，与把它作为目标函数中的惩罚项引入，两者的差别不止于形式。同期的清洗智能体采用后一种做法，即在效用增益中减去带系数的结构失真再按加权和取舍。下面的结论说明这两种做法在严格的损害预算下并不等价。</w:t>
      </w:r>
    </w:p>
    <w:p w14:paraId="301DB9AA" w14:textId="77777777" w:rsidR="000545C4" w:rsidRDefault="00000000">
      <w:pPr>
        <w:ind w:firstLineChars="200" w:firstLine="420"/>
      </w:pPr>
      <w:r>
        <w:rPr>
          <w:rFonts w:hint="eastAsia"/>
        </w:rPr>
        <w:t xml:space="preserve">命题 1（软惩罚的损害下界）设软惩罚的接受判据为</w:t>
      </w:r>
      <w:r>
        <w:rPr>
          <w:rFonts w:hint="eastAsia"/>
        </w:rPr>
        <w:t xml:space="preserve"> </w:t>
      </w:r>
      <m:oMath>
        <m:r>
          <m:t>Δ</m:t>
        </m:r>
        <m:r>
          <m:t>U</m:t>
        </m:r>
        <m:r>
          <m:rPr>
            <m:sty m:val="p"/>
          </m:rPr>
          <m:t>(</m:t>
        </m:r>
        <m:r>
          <m:t>a</m:t>
        </m:r>
        <m:r>
          <m:rPr>
            <m:sty m:val="p"/>
          </m:rPr>
          <m:t>)</m:t>
        </m:r>
        <m:r>
          <m:rPr>
            <m:sty m:val="p"/>
          </m:rPr>
          <m:t>−</m:t>
        </m:r>
        <m:r>
          <m:t>μ</m:t>
        </m:r>
        <m:r>
          <m:t>D</m:t>
        </m:r>
        <m:r>
          <m:rPr>
            <m:sty m:val="p"/>
          </m:rPr>
          <m:t>(</m:t>
        </m:r>
        <m:r>
          <m:t>x</m:t>
        </m:r>
        <m:r>
          <m:rPr>
            <m:sty m:val="p"/>
          </m:rPr>
          <m:t>,</m:t>
        </m:r>
        <m:r>
          <m:t>a</m:t>
        </m:r>
        <m:r>
          <m:rPr>
            <m:sty m:val="p"/>
          </m:rPr>
          <m:t>(</m:t>
        </m:r>
        <m:r>
          <m:t>x</m:t>
        </m:r>
        <m:r>
          <m:rPr>
            <m:sty m:val="p"/>
          </m:rPr>
          <m:t>)</m:t>
        </m:r>
        <m:r>
          <m:rPr>
            <m:sty m:val="p"/>
          </m:rPr>
          <m:t>)</m:t>
        </m:r>
        <m:r>
          <m:rPr>
            <m:sty m:val="p"/>
          </m:rPr>
          <m:t>&gt;</m:t>
        </m:r>
        <m:r>
          <m:t>0</m:t>
        </m:r>
      </m:oMath>
      <w:r>
        <w:rPr>
          <w:rFonts w:hint="eastAsia"/>
        </w:rPr>
        <w:t xml:space="preserve">，其中</w:t>
      </w:r>
      <w:r>
        <w:rPr>
          <w:rFonts w:hint="eastAsia"/>
        </w:rPr>
        <w:t xml:space="preserve"> </w:t>
      </w:r>
      <m:oMath>
        <m:r>
          <m:t>μ</m:t>
        </m:r>
        <m:r>
          <m:rPr>
            <m:sty m:val="p"/>
          </m:rPr>
          <m:t>&gt;</m:t>
        </m:r>
        <m:r>
          <m:t>0</m:t>
        </m:r>
      </m:oMath>
      <w:r>
        <w:rPr>
          <w:rFonts w:hint="eastAsia"/>
        </w:rPr>
        <w:t xml:space="preserve"> </w:t>
      </w:r>
      <w:r>
        <w:rPr>
          <w:rFonts w:hint="eastAsia"/>
        </w:rPr>
        <w:t xml:space="preserve">为惩罚系数。若存在一类窗口，其上有害动作的效用增益与结构失真之比不低于某个正数</w:t>
      </w:r>
      <w:r>
        <w:rPr>
          <w:rFonts w:hint="eastAsia"/>
        </w:rPr>
        <w:t xml:space="preserve"> </w:t>
      </w:r>
      <m:oMath>
        <m:r>
          <m:t>κ</m:t>
        </m:r>
      </m:oMath>
      <w:r>
        <w:rPr>
          <w:rFonts w:hint="eastAsia"/>
        </w:rPr>
        <w:t xml:space="preserve">，则对任意</w:t>
      </w:r>
      <w:r>
        <w:rPr>
          <w:rFonts w:hint="eastAsia"/>
        </w:rPr>
        <w:t xml:space="preserve"> </w:t>
      </w:r>
      <m:oMath>
        <m:r>
          <m:t>μ</m:t>
        </m:r>
        <m:r>
          <m:rPr>
            <m:sty m:val="p"/>
          </m:rPr>
          <m:t>&lt;</m:t>
        </m:r>
        <m:r>
          <m:t>κ</m:t>
        </m:r>
      </m:oMath>
      <w:r>
        <w:rPr>
          <w:rFonts w:hint="eastAsia"/>
        </w:rPr>
        <w:t xml:space="preserve">，该类窗口上的有害动作全部被接受，软惩罚的损害率因而存在一个不依赖于阈值选取的正下界，要消除这一下界只能取</w:t>
      </w:r>
      <w:r>
        <w:rPr>
          <w:rFonts w:hint="eastAsia"/>
        </w:rPr>
        <w:t xml:space="preserve"> </w:t>
      </w:r>
      <m:oMath>
        <m:r>
          <m:t>μ</m:t>
        </m:r>
        <m:r>
          <m:rPr>
            <m:sty m:val="p"/>
          </m:rPr>
          <m:t>≥</m:t>
        </m:r>
        <m:r>
          <m:t>κ</m:t>
        </m:r>
      </m:oMath>
      <w:r>
        <w:rPr>
          <w:rFonts w:hint="eastAsia"/>
        </w:rPr>
        <w:t xml:space="preserve">，而此时效用增益低于</w:t>
      </w:r>
      <w:r>
        <w:rPr>
          <w:rFonts w:hint="eastAsia"/>
        </w:rPr>
        <w:t xml:space="preserve"> </w:t>
      </w:r>
      <m:oMath>
        <m:r>
          <m:t>μ</m:t>
        </m:r>
      </m:oMath>
      <w:r>
        <w:rPr>
          <w:rFonts w:hint="eastAsia"/>
        </w:rPr>
        <w:t xml:space="preserve"> </w:t>
      </w:r>
      <w:r>
        <w:rPr>
          <w:rFonts w:hint="eastAsia"/>
        </w:rPr>
        <w:t xml:space="preserve">倍结构失真的编辑一并被拒绝。</w:t>
      </w:r>
    </w:p>
    <w:p w14:paraId="301DB9AA" w14:textId="77777777" w:rsidR="000545C4" w:rsidRDefault="00000000">
      <w:pPr>
        <w:ind w:firstLineChars="200" w:firstLine="420"/>
      </w:pPr>
      <w:r>
        <w:rPr>
          <w:rFonts w:hint="eastAsia"/>
        </w:rPr>
        <w:t xml:space="preserve">证明。由判据，动作被接受当且仅当</w:t>
      </w:r>
      <w:r>
        <w:rPr>
          <w:rFonts w:hint="eastAsia"/>
        </w:rPr>
        <w:t xml:space="preserve"> </w:t>
      </w:r>
      <m:oMath>
        <m:r>
          <m:t>Δ</m:t>
        </m:r>
        <m:r>
          <m:t>U</m:t>
        </m:r>
        <m:r>
          <m:rPr>
            <m:sty m:val="p"/>
          </m:rPr>
          <m:t>(</m:t>
        </m:r>
        <m:r>
          <m:t>a</m:t>
        </m:r>
        <m:r>
          <m:rPr>
            <m:sty m:val="p"/>
          </m:rPr>
          <m:t>)</m:t>
        </m:r>
        <m:r>
          <m:rPr>
            <m:sty m:val="p"/>
          </m:rPr>
          <m:t>/</m:t>
        </m:r>
        <m:r>
          <m:t>D</m:t>
        </m:r>
        <m:r>
          <m:rPr>
            <m:sty m:val="p"/>
          </m:rPr>
          <m:t>(</m:t>
        </m:r>
        <m:r>
          <m:t>x</m:t>
        </m:r>
        <m:r>
          <m:rPr>
            <m:sty m:val="p"/>
          </m:rPr>
          <m:t>,</m:t>
        </m:r>
        <m:r>
          <m:t>a</m:t>
        </m:r>
        <m:r>
          <m:rPr>
            <m:sty m:val="p"/>
          </m:rPr>
          <m:t>(</m:t>
        </m:r>
        <m:r>
          <m:t>x</m:t>
        </m:r>
        <m:r>
          <m:rPr>
            <m:sty m:val="p"/>
          </m:rPr>
          <m:t>)</m:t>
        </m:r>
        <m:r>
          <m:rPr>
            <m:sty m:val="p"/>
          </m:rPr>
          <m:t>)</m:t>
        </m:r>
        <m:r>
          <m:rPr>
            <m:sty m:val="p"/>
          </m:rPr>
          <m:t>&gt;</m:t>
        </m:r>
        <m:r>
          <m:t>μ</m:t>
        </m:r>
      </m:oMath>
      <w:r>
        <w:rPr>
          <w:rFonts w:hint="eastAsia"/>
        </w:rPr>
        <w:t xml:space="preserve">。对该类窗口上的有害动作，该比值不低于</w:t>
      </w:r>
      <w:r>
        <w:rPr>
          <w:rFonts w:hint="eastAsia"/>
        </w:rPr>
        <w:t xml:space="preserve"> </w:t>
      </w:r>
      <m:oMath>
        <m:r>
          <m:t>κ</m:t>
        </m:r>
      </m:oMath>
      <w:r>
        <w:rPr>
          <w:rFonts w:hint="eastAsia"/>
        </w:rPr>
        <w:t xml:space="preserve">，故</w:t>
      </w:r>
      <w:r>
        <w:rPr>
          <w:rFonts w:hint="eastAsia"/>
        </w:rPr>
        <w:t xml:space="preserve"> </w:t>
      </w:r>
      <m:oMath>
        <m:r>
          <m:t>μ</m:t>
        </m:r>
        <m:r>
          <m:rPr>
            <m:sty m:val="p"/>
          </m:rPr>
          <m:t>&lt;</m:t>
        </m:r>
        <m:r>
          <m:t>κ</m:t>
        </m:r>
      </m:oMath>
      <w:r>
        <w:rPr>
          <w:rFonts w:hint="eastAsia"/>
        </w:rPr>
        <w:t xml:space="preserve"> </w:t>
      </w:r>
      <w:r>
        <w:rPr>
          <w:rFonts w:hint="eastAsia"/>
        </w:rPr>
        <w:t xml:space="preserve">时判据恒成立，这些动作全部进入接受集，其带来的损害不随参数调整而消失。取</w:t>
      </w:r>
      <w:r>
        <w:rPr>
          <w:rFonts w:hint="eastAsia"/>
        </w:rPr>
        <w:t xml:space="preserve"> </w:t>
      </w:r>
      <m:oMath>
        <m:r>
          <m:t>μ</m:t>
        </m:r>
        <m:r>
          <m:rPr>
            <m:sty m:val="p"/>
          </m:rPr>
          <m:t>≥</m:t>
        </m:r>
        <m:r>
          <m:t>κ</m:t>
        </m:r>
      </m:oMath>
      <w:r>
        <w:rPr>
          <w:rFonts w:hint="eastAsia"/>
        </w:rPr>
        <w:t xml:space="preserve"> </w:t>
      </w:r>
      <w:r>
        <w:rPr>
          <w:rFonts w:hint="eastAsia"/>
        </w:rPr>
        <w:t xml:space="preserve">可以排除它们，代价是同一阈值同时排除了比值低于</w:t>
      </w:r>
      <w:r>
        <w:rPr>
          <w:rFonts w:hint="eastAsia"/>
        </w:rPr>
        <w:t xml:space="preserve"> </w:t>
      </w:r>
      <m:oMath>
        <m:r>
          <m:t>μ</m:t>
        </m:r>
      </m:oMath>
      <w:r>
        <w:rPr>
          <w:rFonts w:hint="eastAsia"/>
        </w:rPr>
        <w:t xml:space="preserve"> </w:t>
      </w:r>
      <w:r>
        <w:rPr>
          <w:rFonts w:hint="eastAsia"/>
        </w:rPr>
        <w:t xml:space="preserve">的全部编辑，其中包含有益的编辑。证毕。</w:t>
      </w:r>
    </w:p>
    <w:p w14:paraId="301DB9AA" w14:textId="77777777" w:rsidR="000545C4" w:rsidRDefault="00000000">
      <w:pPr>
        <w:ind w:firstLineChars="200" w:firstLine="420"/>
      </w:pPr>
      <w:r>
        <w:rPr>
          <w:rFonts w:hint="eastAsia"/>
        </w:rPr>
        <w:t xml:space="preserve">命题 1 的前提是效用信号与有害性在某类数据上同向增长，即抹平一段真实的极端波动同时得到高效用增益与大结构失真。本文的实验一正是刻画这一前提是否成立，因此命题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不是原始读数。一个抹平动作即使拿到很高的效用读数，也会因结构失真超限而被撤销，最终计入负奖励。策略在若干轮之后会学到，在需要保护的窗口上提出抹平动作是不划算的，从而在提议阶段就避开这类动作。若把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定理 4 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3021D568" w14:textId="77777777" w:rsidR="000545C4" w:rsidRDefault="00000000">
      <w:pPr>
        <w:ind w:firstLineChars="200" w:firstLine="420"/>
      </w:pPr>
      <w:r>
        <w:rPr>
          <w:rFonts w:hint="eastAsia"/>
        </w:rPr>
        <w:t>定理 5（标定间隔内的保证退化）设风险函数取值于</w:t>
      </w:r>
      <w:r>
        <w:rPr>
          <w:rFonts w:hint="eastAsia"/>
        </w:rPr>
        <w:t xml:space="preserve"> </w:t>
      </w:r>
      <m:oMath>
        <m:r>
          <m:rPr>
            <m:sty m:val="p"/>
          </m:rPr>
          <m:t>[</m:t>
        </m:r>
        <m:r>
          <m:t>0</m:t>
        </m:r>
        <m:r>
          <m:rPr>
            <m:sty m:val="p"/>
          </m:rPr>
          <m:t>,</m:t>
        </m:r>
        <m:r>
          <m:t>1</m:t>
        </m:r>
        <m:r>
          <m:rPr>
            <m:sty m:val="p"/>
          </m:rPr>
          <m:t>]</m:t>
        </m:r>
      </m:oMath>
      <w:r>
        <w:rPr>
          <w:rFonts w:hint="eastAsia"/>
        </w:rPr>
        <w:t xml:space="preserve">，记校准时的候选分布为</w:t>
      </w:r>
      <w:r>
        <w:rPr>
          <w:rFonts w:hint="eastAsia"/>
        </w:rPr>
        <w:t xml:space="preserve"> </w:t>
      </w:r>
      <m:oMath>
        <m:r>
          <m:t>P</m:t>
        </m:r>
      </m:oMath>
      <w:r>
        <w:rPr>
          <w:rFonts w:hint="eastAsia"/>
        </w:rPr>
        <w:t xml:space="preserve">，某次决策时的候选分布为</w:t>
      </w:r>
      <w:r>
        <w:rPr>
          <w:rFonts w:hint="eastAsia"/>
        </w:rPr>
        <w:t xml:space="preserve"> </w:t>
      </w:r>
      <m:oMath>
        <m:r>
          <m:t>Q</m:t>
        </m:r>
      </m:oMath>
      <w:r>
        <w:rPr>
          <w:rFonts w:hint="eastAsia"/>
        </w:rPr>
        <w:t xml:space="preserve">，两者的总变差距离为</w:t>
      </w:r>
      <w:r>
        <w:rPr>
          <w:rFonts w:hint="eastAsia"/>
        </w:rPr>
        <w:t xml:space="preserve"> </w:t>
      </w:r>
      <m:oMath>
        <m:r>
          <m:rPr>
            <m:sty m:val="p"/>
          </m:rPr>
          <m:t>T</m:t>
        </m:r>
        <m:r>
          <m:rPr>
            <m:sty m:val="p"/>
          </m:rPr>
          <m:t>V</m:t>
        </m:r>
        <m:r>
          <m:rPr>
            <m:sty m:val="p"/>
          </m:rPr>
          <m:t>(</m:t>
        </m:r>
        <m:r>
          <m:t>P</m:t>
        </m:r>
        <m:r>
          <m:rPr>
            <m:sty m:val="p"/>
          </m:rPr>
          <m:t>,</m:t>
        </m:r>
        <m:r>
          <m:t>Q</m:t>
        </m:r>
        <m:r>
          <m:rPr>
            <m:sty m:val="p"/>
          </m:rPr>
          <m:t>)</m:t>
        </m:r>
      </m:oMath>
      <w:r>
        <w:rPr>
          <w:rFonts w:hint="eastAsia"/>
        </w:rPr>
        <w:t xml:space="preserve">，则部署风险满足</w:t>
      </w:r>
    </w:p>
    <w:p w14:paraId="3021D568" w14:textId="77777777" w:rsidR="000545C4" w:rsidRDefault="00000000">
      <w:pPr>
        <w:ind w:firstLineChars="200" w:firstLine="420"/>
      </w:pPr>
      <m:oMathPara>
        <m:oMathParaPr>
          <m:jc m:val="center"/>
        </m:oMathParaP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m:oMathPara>
    </w:p>
    <w:p w14:paraId="3021D568" w14:textId="77777777" w:rsidR="000545C4" w:rsidRDefault="00000000">
      <w:pPr>
        <w:ind w:firstLineChars="200" w:firstLine="420"/>
      </w:pPr>
      <w:r>
        <w:rPr>
          <w:rFonts w:hint="eastAsia"/>
        </w:rPr>
        <w:t xml:space="preserve">进一步，若在两次标定之间发生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次更新，奖励截断上界为</w:t>
      </w:r>
      <w:r>
        <w:rPr>
          <w:rFonts w:hint="eastAsia"/>
        </w:rPr>
        <w:t xml:space="preserve"> </w:t>
      </w:r>
      <m:oMath>
        <m:r>
          <m:t>q</m:t>
        </m:r>
      </m:oMath>
      <w:r>
        <w:rPr>
          <w:rFonts w:hint="eastAsia"/>
        </w:rPr>
        <w:t xml:space="preserve">，各格子在此期间的最小访问计数为</w:t>
      </w:r>
      <w:r>
        <w:rPr>
          <w:rFonts w:hint="eastAsia"/>
        </w:rPr>
        <w:t xml:space="preserve"> </w:t>
      </w:r>
      <m:oMath>
        <m:sSub>
          <m:e>
            <m:r>
              <m:t>n</m:t>
            </m:r>
          </m:e>
          <m:sub>
            <m:r>
              <m:rPr>
                <m:nor/>
                <m:sty m:val="p"/>
              </m:rPr>
              <m:t>min</m:t>
            </m:r>
          </m:sub>
        </m:sSub>
      </m:oMath>
      <w:r>
        <w:rPr>
          <w:rFonts w:hint="eastAsia"/>
        </w:rPr>
        <w:t xml:space="preserve">，且任意状态下最优动作与次优动作的置信上界之差不小于</w:t>
      </w:r>
      <w:r>
        <w:rPr>
          <w:rFonts w:hint="eastAsia"/>
        </w:rPr>
        <w:t xml:space="preserve"> </w:t>
      </w:r>
      <m:oMath>
        <m:r>
          <m:t>γ</m:t>
        </m:r>
      </m:oMath>
      <w:r>
        <w:rPr>
          <w:rFonts w:hint="eastAsia"/>
        </w:rPr>
        <w:t xml:space="preserve">，则</w:t>
      </w:r>
    </w:p>
    <w:p w14:paraId="3021D568" w14:textId="77777777" w:rsidR="000545C4" w:rsidRDefault="00000000">
      <w:pPr>
        <w:ind w:firstLineChars="200" w:firstLine="420"/>
      </w:pPr>
      <m:oMathPara>
        <m:oMathParaPr>
          <m:jc m:val="center"/>
        </m:oMathParaPr>
        <m:oMath>
          <m:r>
            <m:rPr>
              <m:sty m:val="p"/>
            </m:rPr>
            <m:t>T</m:t>
          </m:r>
          <m:r>
            <m:rPr>
              <m:sty m:val="p"/>
            </m:rPr>
            <m:t>V</m:t>
          </m:r>
          <m:r>
            <m:rPr>
              <m:sty m:val="p"/>
            </m:rPr>
            <m:t>(</m:t>
          </m:r>
          <m:r>
            <m:t>P</m:t>
          </m:r>
          <m:r>
            <m:rPr>
              <m:sty m:val="p"/>
            </m:rPr>
            <m:t>,</m:t>
          </m:r>
          <m:r>
            <m:t>Q</m:t>
          </m:r>
          <m:r>
            <m:rPr>
              <m:sty m:val="p"/>
            </m:rPr>
            <m:t>)</m:t>
          </m:r>
          <m:r>
            <m:rPr>
              <m:sty m:val="p"/>
            </m:rPr>
            <m:t>≤</m:t>
          </m:r>
          <m:f>
            <m:fPr>
              <m:type m:val="bar"/>
            </m:fPr>
            <m:num>
              <m:r>
                <m:t>2</m:t>
              </m:r>
              <m:r>
                <m:t>q</m:t>
              </m:r>
              <m:sSub>
                <m:e>
                  <m:r>
                    <m:t>T</m:t>
                  </m:r>
                </m:e>
                <m:sub>
                  <m:r>
                    <m:rPr>
                      <m:sty m:val="p"/>
                    </m:rPr>
                    <m:t>c</m:t>
                  </m:r>
                  <m:r>
                    <m:rPr>
                      <m:sty m:val="p"/>
                    </m:rPr>
                    <m:t>a</m:t>
                  </m:r>
                  <m:r>
                    <m:rPr>
                      <m:sty m:val="p"/>
                    </m:rPr>
                    <m:t>l</m:t>
                  </m:r>
                </m:sub>
              </m:sSub>
            </m:num>
            <m:den>
              <m:r>
                <m:t>γ</m:t>
              </m:r>
              <m:sSub>
                <m:e>
                  <m:r>
                    <m:t>n</m:t>
                  </m:r>
                </m:e>
                <m:sub>
                  <m:r>
                    <m:rPr>
                      <m:nor/>
                      <m:sty m:val="p"/>
                    </m:rPr>
                    <m:t>min</m:t>
                  </m:r>
                </m:sub>
              </m:sSub>
            </m:den>
          </m:f>
        </m:oMath>
      </m:oMathPara>
    </w:p>
    <w:p w14:paraId="3021D568" w14:textId="77777777" w:rsidR="000545C4" w:rsidRDefault="00000000">
      <w:pPr>
        <w:ind w:firstLineChars="200" w:firstLine="420"/>
      </w:pPr>
      <w:r>
        <w:rPr>
          <w:rFonts w:hint="eastAsia"/>
        </w:rPr>
        <w:t xml:space="preserve">证明的思路分三步。第一步用有界风险函数在两个分布上期望之差受总变差距离控制这一标准事实，结合定理 4 给出的校准分布上的保证，得到第一个不等式。第二步刻画价值表的变化，增量更新每次对某个格子的改变是奖励与当前估计之差除以访问计数，奖励经截断后有界，因此单次改变不超过截断上界与访问计数之比，</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次更新的累积改变不超过其</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倍。第三步把价值变化换算为分布变化，上置信界是确定性策略，动作分布只在两个动作的置信上界发生交叉时才改变，而间隔条件保证价值改变量小于</w:t>
      </w:r>
      <w:r>
        <w:rPr>
          <w:rFonts w:hint="eastAsia"/>
        </w:rPr>
        <w:t xml:space="preserve"> </w:t>
      </w:r>
      <m:oMath>
        <m:r>
          <m:t>γ</m:t>
        </m:r>
      </m:oMath>
      <w:r>
        <w:rPr>
          <w:rFonts w:hint="eastAsia"/>
        </w:rPr>
        <w:t xml:space="preserve"> </w:t>
      </w:r>
      <w:r>
        <w:rPr>
          <w:rFonts w:hint="eastAsia"/>
        </w:rPr>
        <w:t xml:space="preserve">时排序不会翻转，由此得到第二个不等式。</w:t>
      </w:r>
    </w:p>
    <w:p w14:paraId="3021D568" w14:textId="77777777" w:rsidR="000545C4" w:rsidRDefault="00000000">
      <w:pPr>
        <w:ind w:firstLineChars="200" w:firstLine="420"/>
      </w:pPr>
      <w:r>
        <w:rPr>
          <w:rFonts w:hint="eastAsia"/>
        </w:rPr>
        <w:t>定理 5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趋于零而上界失效。该条件在实测中是否成立需要检验，检验方式是统计各状态下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的经验分布，若其下尾接近零则结论应改用期望形式而不是最坏情况形式。这一检验尚未进行。</w:t>
      </w:r>
    </w:p>
    <w:p w14:paraId="3021D568" w14:textId="77777777" w:rsidR="000545C4" w:rsidRDefault="00000000">
      <w:pPr>
        <w:ind w:firstLineChars="200" w:firstLine="420"/>
      </w:pPr>
      <w:r>
        <w:rPr>
          <w:rFonts w:hint="eastAsia"/>
        </w:rPr>
        <w:t xml:space="preserve">另有一点边界与可交换性无关。阈值网格中最保守的取值仍然对应一个正的经验风险，低于这个下界的目标水平在当前动作空间下无解，此时标定过程返回最保守的阈值，这一行为符合定义。定理 3 给出的结构上界在两次标定之间始终成立，因此标定间隔只影响损害率保证的紧致程度，不影响结构安全性。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余下的问题是如何利用这个环境改进决策。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更换因而往往是盲目的。序贯决策本身可行，问题出在备选顺序需要根据窗口类型学习。</w:t>
      </w:r>
    </w:p>
    <w:p w14:paraId="30225124" w14:textId="77777777" w:rsidR="000545C4" w:rsidRDefault="00000000">
      <w:pPr>
        <w:ind w:firstLineChars="200" w:firstLine="420"/>
      </w:pPr>
      <w:r>
        <w:rPr>
          <w:rFonts w:hint="eastAsia"/>
        </w:rPr>
        <w:t>SPO 采用上下文老虎机，理由是本任务的决策序列很短，多数窗口在三步以内结束，状态经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接受奖励需要设上界。定理 6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定理 6（屏蔽动作空间上的遗憾界）设奖励关于状态特征线性可表示且取值有界，屏蔽后的动作集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定理 6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。CDP 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。SIR 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。CDS 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，不涉及模型前向。SPO 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文的做法建立在几个需要检验的判断之上。模型给出的效用读数在需要保护的数据上与有害性方向相反，这是引入结构条件的前提。判定的结果作为奖励能够把策略引向可以通过结构检验的修复方式，这是屏蔽的第二重职责。试错发生在副本上因而学习不破坏语料，这是把判定推迟到执行之后所换来的。本章的实验规划围绕这几点展开，前四组检验治理后语料的质量是否达到预期，后五组检验智能体的决策本身是否可靠。在此之前先交代数据、噪声注入、基线与指标的设置。</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计划使用的数据集见表 2，覆盖工业与金融两类场景。选择两类而不是一类，是因为本文的同类校准与弃权机制都以语料存在结构异质性为前提，单一来源的语料无法检验这一前提是否被满足，这一点在 4.2 节的对应实验中展开。工业场景取电力变压器监测数据 ETTh1、ETTh2 与 ETTm1，它们是长期时序预测的通用基准[23]，采样频率为小时与十五分钟，多个通道来自同一台设备的不同测点，因此系统噪声在其上有明确的物理对应。金融场景取 TIME 基准[28]中的三项，Crypto 是四种加密资产的日频价格，US Term Structure 是美国国债期限结构的四十维工作日序列，Oil Price 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0545C4" w:rsidRDefault="00000000">
      <w:pPr/>
    </w:p>
    <w:p w14:paraId="3027A238" w14:textId="77777777" w:rsidR="000545C4" w:rsidRDefault="00000000">
      <w:pPr>
        <w:jc w:val="center"/>
      </w:pPr>
      <w:r>
        <w:rPr>
          <w:rFonts w:hint="eastAsia"/>
        </w:rPr>
        <w:t>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数据集</w:t>
            </w:r>
          </w:p>
        </w:tc>
        <w:tc>
          <w:tcPr>
            <w:tcW w:w="1300" w:type="dxa"/>
            <w:vAlign w:val="center"/>
          </w:tcPr>
          <w:p w14:paraId="3027FF05" w14:textId="77777777" w:rsidR="000545C4" w:rsidRDefault="00000000">
            <w:pPr>
              <w:jc w:val="center"/>
            </w:pPr>
            <w:r>
              <w:rPr>
                <w:rFonts w:hint="eastAsia"/>
                <w:b/>
                <w:bCs/>
              </w:rPr>
              <w:t>场景</w:t>
            </w:r>
          </w:p>
        </w:tc>
        <w:tc>
          <w:tcPr>
            <w:tcW w:w="3378" w:type="dxa"/>
            <w:vAlign w:val="center"/>
          </w:tcPr>
          <w:p w14:paraId="30283CE3" w14:textId="77777777" w:rsidR="000545C4" w:rsidRDefault="00000000">
            <w:pPr>
              <w:jc w:val="center"/>
            </w:pPr>
            <w:r>
              <w:rPr>
                <w:rFonts w:hint="eastAsia"/>
                <w:b/>
                <w:bCs/>
              </w:rPr>
              <w:t>通道数与频率</w:t>
            </w:r>
          </w:p>
        </w:tc>
      </w:tr>
      <w:tr>
        <w:trPr>
          <w:jc w:val="center"/>
        </w:trPr>
        <w:tc>
          <w:tcPr>
            <w:tcW w:w="1900" w:type="dxa"/>
            <w:vAlign w:val="center"/>
          </w:tcPr>
          <w:p w14:paraId="30285BD2" w14:textId="77777777" w:rsidR="000545C4" w:rsidRDefault="00000000">
            <w:pPr>
              <w:jc w:val="center"/>
            </w:pPr>
            <w:r>
              <w:rPr>
                <w:rFonts w:hint="eastAsia"/>
              </w:rPr>
              <w:t>ETTh1</w:t>
            </w:r>
          </w:p>
        </w:tc>
        <w:tc>
          <w:tcPr>
            <w:tcW w:w="1300" w:type="dxa"/>
            <w:vAlign w:val="center"/>
          </w:tcPr>
          <w:p w14:paraId="302899B0" w14:textId="77777777" w:rsidR="000545C4" w:rsidRDefault="00000000">
            <w:pPr>
              <w:jc w:val="center"/>
            </w:pPr>
            <w:r>
              <w:rPr>
                <w:rFonts w:hint="eastAsia"/>
              </w:rPr>
              <w:t>工业，电力变压器</w:t>
            </w:r>
          </w:p>
        </w:tc>
        <w:tc>
          <w:tcPr>
            <w:tcW w:w="3378" w:type="dxa"/>
            <w:vAlign w:val="center"/>
          </w:tcPr>
          <w:p w14:paraId="3028D78E" w14:textId="77777777" w:rsidR="000545C4" w:rsidRDefault="00000000">
            <w:pPr>
              <w:jc w:val="center"/>
            </w:pPr>
            <w:r>
              <w:rPr>
                <w:rFonts w:hint="eastAsia"/>
              </w:rPr>
              <w:t>7 通道，小时</w:t>
            </w:r>
          </w:p>
        </w:tc>
      </w:tr>
      <w:tr>
        <w:trPr>
          <w:jc w:val="center"/>
        </w:trPr>
        <w:tc>
          <w:tcPr>
            <w:tcW w:w="1900" w:type="dxa"/>
            <w:vAlign w:val="center"/>
          </w:tcPr>
          <w:p w14:paraId="3028F67D" w14:textId="77777777" w:rsidR="000545C4" w:rsidRDefault="00000000">
            <w:pPr>
              <w:jc w:val="center"/>
            </w:pPr>
            <w:r>
              <w:rPr>
                <w:rFonts w:hint="eastAsia"/>
              </w:rPr>
              <w:t>ETTh2</w:t>
            </w:r>
          </w:p>
        </w:tc>
        <w:tc>
          <w:tcPr>
            <w:tcW w:w="1300" w:type="dxa"/>
            <w:vAlign w:val="center"/>
          </w:tcPr>
          <w:p w14:paraId="3029345B" w14:textId="77777777" w:rsidR="000545C4" w:rsidRDefault="00000000">
            <w:pPr>
              <w:jc w:val="center"/>
            </w:pPr>
            <w:r>
              <w:rPr>
                <w:rFonts w:hint="eastAsia"/>
              </w:rPr>
              <w:t>工业，电力变压器</w:t>
            </w:r>
          </w:p>
        </w:tc>
        <w:tc>
          <w:tcPr>
            <w:tcW w:w="3378" w:type="dxa"/>
            <w:vAlign w:val="center"/>
          </w:tcPr>
          <w:p w14:paraId="30297239" w14:textId="77777777" w:rsidR="000545C4" w:rsidRDefault="00000000">
            <w:pPr>
              <w:jc w:val="center"/>
            </w:pPr>
            <w:r>
              <w:rPr>
                <w:rFonts w:hint="eastAsia"/>
              </w:rPr>
              <w:t>7 通道，小时</w:t>
            </w:r>
          </w:p>
        </w:tc>
      </w:tr>
      <w:tr>
        <w:trPr>
          <w:jc w:val="center"/>
        </w:trPr>
        <w:tc>
          <w:tcPr>
            <w:tcW w:w="1900" w:type="dxa"/>
            <w:vAlign w:val="center"/>
          </w:tcPr>
          <w:p w14:paraId="30299128" w14:textId="77777777" w:rsidR="000545C4" w:rsidRDefault="00000000">
            <w:pPr>
              <w:jc w:val="center"/>
            </w:pPr>
            <w:r>
              <w:rPr>
                <w:rFonts w:hint="eastAsia"/>
              </w:rPr>
              <w:t>ETTm1</w:t>
            </w:r>
          </w:p>
        </w:tc>
        <w:tc>
          <w:tcPr>
            <w:tcW w:w="1300" w:type="dxa"/>
            <w:vAlign w:val="center"/>
          </w:tcPr>
          <w:p w14:paraId="3029CF06" w14:textId="77777777" w:rsidR="000545C4" w:rsidRDefault="00000000">
            <w:pPr>
              <w:jc w:val="center"/>
            </w:pPr>
            <w:r>
              <w:rPr>
                <w:rFonts w:hint="eastAsia"/>
              </w:rPr>
              <w:t>工业，电力变压器</w:t>
            </w:r>
          </w:p>
        </w:tc>
        <w:tc>
          <w:tcPr>
            <w:tcW w:w="3378" w:type="dxa"/>
            <w:vAlign w:val="center"/>
          </w:tcPr>
          <w:p w14:paraId="302A0CE4" w14:textId="77777777" w:rsidR="000545C4" w:rsidRDefault="00000000">
            <w:pPr>
              <w:jc w:val="center"/>
            </w:pPr>
            <w:r>
              <w:rPr>
                <w:rFonts w:hint="eastAsia"/>
              </w:rPr>
              <w:t>7 通道，十五分钟</w:t>
            </w:r>
          </w:p>
        </w:tc>
      </w:tr>
      <w:tr>
        <w:trPr>
          <w:jc w:val="center"/>
        </w:trPr>
        <w:tc>
          <w:tcPr>
            <w:tcW w:w="1900" w:type="dxa"/>
            <w:vAlign w:val="center"/>
          </w:tcPr>
          <w:p w14:paraId="302A2BD3" w14:textId="77777777" w:rsidR="000545C4" w:rsidRDefault="00000000">
            <w:pPr>
              <w:jc w:val="center"/>
            </w:pPr>
            <w:r>
              <w:rPr>
                <w:rFonts w:hint="eastAsia"/>
              </w:rPr>
              <w:t>Crypto[28]</w:t>
            </w:r>
          </w:p>
        </w:tc>
        <w:tc>
          <w:tcPr>
            <w:tcW w:w="1300" w:type="dxa"/>
            <w:vAlign w:val="center"/>
          </w:tcPr>
          <w:p w14:paraId="302A69B1" w14:textId="77777777" w:rsidR="000545C4" w:rsidRDefault="00000000">
            <w:pPr>
              <w:jc w:val="center"/>
            </w:pPr>
            <w:r>
              <w:rPr>
                <w:rFonts w:hint="eastAsia"/>
              </w:rPr>
              <w:t>金融，加密资产价格</w:t>
            </w:r>
          </w:p>
        </w:tc>
        <w:tc>
          <w:tcPr>
            <w:tcW w:w="3378" w:type="dxa"/>
            <w:vAlign w:val="center"/>
          </w:tcPr>
          <w:p w14:paraId="302AA78F" w14:textId="77777777" w:rsidR="000545C4" w:rsidRDefault="00000000">
            <w:pPr>
              <w:jc w:val="center"/>
            </w:pPr>
            <w:r>
              <w:rPr>
                <w:rFonts w:hint="eastAsia"/>
              </w:rPr>
              <w:t>4 通道，日</w:t>
            </w:r>
          </w:p>
        </w:tc>
      </w:tr>
      <w:tr>
        <w:trPr>
          <w:jc w:val="center"/>
        </w:trPr>
        <w:tc>
          <w:tcPr>
            <w:tcW w:w="1900" w:type="dxa"/>
            <w:vAlign w:val="center"/>
          </w:tcPr>
          <w:p w14:paraId="302AC67E" w14:textId="77777777" w:rsidR="000545C4" w:rsidRDefault="00000000">
            <w:pPr>
              <w:jc w:val="center"/>
            </w:pPr>
            <w:r>
              <w:rPr>
                <w:rFonts w:hint="eastAsia"/>
              </w:rPr>
              <w:t>US Term Structure[28]</w:t>
            </w:r>
          </w:p>
        </w:tc>
        <w:tc>
          <w:tcPr>
            <w:tcW w:w="1300" w:type="dxa"/>
            <w:vAlign w:val="center"/>
          </w:tcPr>
          <w:p w14:paraId="302B045C" w14:textId="77777777" w:rsidR="000545C4" w:rsidRDefault="00000000">
            <w:pPr>
              <w:jc w:val="center"/>
            </w:pPr>
            <w:r>
              <w:rPr>
                <w:rFonts w:hint="eastAsia"/>
              </w:rPr>
              <w:t>金融，国债期限结构</w:t>
            </w:r>
          </w:p>
        </w:tc>
        <w:tc>
          <w:tcPr>
            <w:tcW w:w="3378" w:type="dxa"/>
            <w:vAlign w:val="center"/>
          </w:tcPr>
          <w:p w14:paraId="302B423A" w14:textId="77777777" w:rsidR="000545C4" w:rsidRDefault="00000000">
            <w:pPr>
              <w:jc w:val="center"/>
            </w:pPr>
            <w:r>
              <w:rPr>
                <w:rFonts w:hint="eastAsia"/>
              </w:rPr>
              <w:t>40 通道，工作日</w:t>
            </w:r>
          </w:p>
        </w:tc>
      </w:tr>
      <w:tr>
        <w:trPr>
          <w:jc w:val="center"/>
        </w:trPr>
        <w:tc>
          <w:tcPr>
            <w:tcW w:w="1900" w:type="dxa"/>
            <w:vAlign w:val="center"/>
          </w:tcPr>
          <w:p w14:paraId="302B6129" w14:textId="77777777" w:rsidR="000545C4" w:rsidRDefault="00000000">
            <w:pPr>
              <w:jc w:val="center"/>
            </w:pPr>
            <w:r>
              <w:rPr>
                <w:rFonts w:hint="eastAsia"/>
              </w:rPr>
              <w:t>Oil Price[28]</w:t>
            </w:r>
          </w:p>
        </w:tc>
        <w:tc>
          <w:tcPr>
            <w:tcW w:w="1300" w:type="dxa"/>
            <w:vAlign w:val="center"/>
          </w:tcPr>
          <w:p w14:paraId="302B9F07" w14:textId="77777777" w:rsidR="000545C4" w:rsidRDefault="00000000">
            <w:pPr>
              <w:jc w:val="center"/>
            </w:pPr>
            <w:r>
              <w:rPr>
                <w:rFonts w:hint="eastAsia"/>
              </w:rPr>
              <w:t>金融，能源商品价格</w:t>
            </w:r>
          </w:p>
        </w:tc>
        <w:tc>
          <w:tcPr>
            <w:tcW w:w="3378" w:type="dxa"/>
            <w:vAlign w:val="center"/>
          </w:tcPr>
          <w:p w14:paraId="302BDCE5" w14:textId="77777777" w:rsidR="000545C4" w:rsidRDefault="00000000">
            <w:pPr>
              <w:jc w:val="center"/>
            </w:pPr>
            <w:r>
              <w:rPr>
                <w:rFonts w:hint="eastAsia"/>
              </w:rPr>
              <w:t>12 通道，工作日</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无标签场景下无法直接获得治理是否正确的判据，因此在干净窗口上注入受控噪声并逐条记录标签，把注入位置作为治理应当处理的对象。注入按 2.2 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0545C4" w:rsidRDefault="00000000">
      <w:pPr>
        <w:ind w:firstLineChars="200" w:firstLine="420"/>
      </w:pPr>
      <w:r>
        <w:rPr>
          <w:rFonts w:hint="eastAsia"/>
        </w:rPr>
        <w:t xml:space="preserve">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0545C4" w:rsidRDefault="00000000">
      <w:pPr>
        <w:ind w:firstLineChars="200" w:firstLine="420"/>
      </w:pPr>
      <w:r>
        <w:rPr>
          <w:rFonts w:hint="eastAsia"/>
        </w:rPr>
        <w:t>（1）不治理，作为参照下界，其损害恒为零，用于确认任何非零损害都来自方法本身，与评测流程无关。（2）SCREEN[5]，速度约束下的局部最优修复，代表约束驱动的清洗路线，隔离的变量是修复规则完全由领域约束给定时能走到哪里。（3）IMR[6]，自回归模型迭代修复，代表统计建模驱动的清洗路线，隔离的变量是把修复依据从人工约束换成数据自身的统计结构。（4）MTCSC[8]的单变量分支，2024 年的速度约束工作，它与 SCREEN 的编辑重合度分窗口、改动位置与修复取值三个层次实测，三个层次都高度一致才合并为一行，否则各自单列。</w:t>
      </w:r>
    </w:p>
    <w:p w14:paraId="302D6F08" w14:textId="77777777" w:rsidR="000545C4" w:rsidRDefault="00000000">
      <w:pPr>
        <w:ind w:firstLineChars="200" w:firstLine="420"/>
      </w:pPr>
      <w:r>
        <w:rPr>
          <w:rFonts w:hint="eastAsia"/>
        </w:rPr>
        <w:t xml:space="preserve">（5）TimeInf[11]，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 TimeInf 与通用估值中开销最低的 Data-OOB[10]两项，（6）Data-OOB 用袋外估计给出样本价值，隔离的变量是估值方法忽略时间依赖时会损失什么。Data Shapley 与 TSRating 不单列，前者与 Data-OOB 同属博弈论估值而开销高出一个量级，后者依赖外部大模型判断，其可得性不由本文控制。（7）学习策略不配屏蔽，即把算子直接作用于原数据，代表同期强化学习清洗方案的做法，隔离的变量是屏蔽本身的有无。</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 xml:space="preserve">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 。</w:t>
      </w:r>
      <w:r>
        <w:rPr>
          <w:rFonts w:hint="eastAsia"/>
        </w:rPr>
      </w:r>
      <m:oMath>
        <m:r>
          <m:t>Δ</m:t>
        </m:r>
        <m:r>
          <m:t>U</m:t>
        </m:r>
        <m:r>
          <m:rPr>
            <m:sty m:val="p"/>
          </m:rPr>
          <m:t>/</m:t>
        </m:r>
        <m:r>
          <m:t>Δ</m:t>
        </m:r>
        <m:r>
          <m:rPr>
            <m:sty m:val="p"/>
          </m:rPr>
          <m:t>V</m:t>
        </m:r>
        <m:r>
          <m:rPr>
            <m:sty m:val="p"/>
          </m:rPr>
          <m:t>a</m:t>
        </m:r>
        <m:r>
          <m:rPr>
            <m:sty m:val="p"/>
          </m:rPr>
          <m:t>r</m:t>
        </m:r>
      </m:oMath>
      <w:r>
        <w:rPr>
          <w:rFonts w:hint="eastAsia"/>
        </w:rPr>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 xml:space="preserve">实验三验证定理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实验八检验同类校准与弃权的生效条件。3.1 节指出同类校准的收益依赖语料存在结构异质性，在同质语料上应当趋于零，这一点给出了可检验的预测。构造异质性递增的语料序列，从单一工业来源开始逐步混入金融场景的窗口，异质性用画像空间中窗口两两距离的分散程度度量，度量方式在实验开始前定死。在每个异质性水平上比较同类校准与全局标准化两种做法的损害与修复，并统计弃权的触发次数。若收益随异质性单调上升则该解释成立，若在任何异质性水平下都没有差别，则这两个模块在本文设定下不必要，应当如实报告并考虑简化方法。</w:t>
      </w:r>
    </w:p>
    <w:p w14:paraId="3036601E" w14:textId="77777777" w:rsidR="000545C4" w:rsidRDefault="00000000">
      <w:pPr>
        <w:ind w:firstLineChars="200" w:firstLine="420"/>
      </w:pPr>
      <w:r>
        <w:rPr>
          <w:rFonts w:hint="eastAsia"/>
        </w:rPr>
        <w:t xml:space="preserve">实验九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、探索系数</w:t>
      </w:r>
      <w:r>
        <w:rPr>
          <w:rFonts w:hint="eastAsia"/>
        </w:rPr>
        <w:t xml:space="preserve"> </w:t>
      </w:r>
      <m:oMath>
        <m:sSub>
          <m:e>
            <m:r>
              <m:t>c</m:t>
            </m:r>
          </m:e>
          <m:sub>
            <m:r>
              <m:t>u</m:t>
            </m:r>
          </m:sub>
        </m:sSub>
      </m:oMath>
      <w:r>
        <w:rPr>
          <w:rFonts w:hint="eastAsia"/>
        </w:rPr>
        <w:t xml:space="preserve">、注入概率</w:t>
      </w:r>
      <w:r>
        <w:rPr>
          <w:rFonts w:hint="eastAsia"/>
        </w:rPr>
        <w:t xml:space="preserve"> </w:t>
      </w:r>
      <m:oMath>
        <m:sSub>
          <m:e>
            <m:r>
              <m:t>p</m:t>
            </m:r>
          </m:e>
          <m:sub>
            <m:r>
              <m:rPr>
                <m:sty m:val="p"/>
              </m:rPr>
              <m:t>i</m:t>
            </m:r>
            <m:r>
              <m:rPr>
                <m:sty m:val="p"/>
              </m:rPr>
              <m:t>n</m:t>
            </m:r>
            <m:r>
              <m:rPr>
                <m:sty m:val="p"/>
              </m:rPr>
              <m:t>j</m:t>
            </m:r>
          </m:sub>
        </m:sSub>
      </m:oMath>
      <w:r>
        <w:rPr>
          <w:rFonts w:hint="eastAsia"/>
        </w:rPr>
        <w:t xml:space="preserve"> </w:t>
      </w:r>
      <w:r>
        <w:rPr>
          <w:rFonts w:hint="eastAsia"/>
        </w:rPr>
        <w:t xml:space="preserve">与标定间隔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，其中标定间隔一档用于检验定理 5 给出的退化上界与实测退化是否吻合，并统计各状态下置信上界间隔的经验分布，以判断该定理所需的间隔条件在本文设定中是否成立。</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本文面向时序基础模型的语料治理问题。一次修改是否有害取决于被修改的数据，因此无法在执行之前判定，本文的做法是把判定推迟到执行之后，并把执行放在副本上使判错的动作可以撤回。判定要求模型效用与时序结构两个相互独立的条件同时成立，结构条件不看模型意见，其阈值由共形风险控制标定到给定的损害率上。判定的结果同时是策略改进所用的反馈，而试错既然发生在副本上，学习过程本身就不修改语料。屏蔽因而承担双重职责，它拦下破坏性动作，也决定了哪些奖励能够到达策略，安全与学习由此出自同一个设计。本文给出六条定理与一条命题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方法与实验规划给出的是打算做到什么，本章记录实际做的过程中遇到了什么。已发现的问题分三类，一类是实现缺陷，改正之后现象消失，一类是设计取舍带来的固有限制，改不掉只能说明，另一类源于实验设计本身，需要重新安排对照才能回答。</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同类校准未能提升判别力，属设计取舍暴露出的限制。问题出在被校准的量上，行为信号反映窗口的可预测程度，任何标准化都无法把这一混杂剥离。这一发现同时说明该信号不适合单独充当奖励。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结构条件在整条序列重写的候选上出现反向筛选，属实现缺陷。根因是这类候选被路由到未经标定的计算路径，令其声明实际改动的点集之后该现象消失。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下游任务上未观测到正向增益，同样是设计取舍的结果。方法只修改了语料中不足百分之八的窗口，改动量过小，现有下游协议无法分辨，下游部分因此只保留防御性结论。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候选有害率的高值主要由语料构成决定。受保护层占已发表方法候选的一半以上，而在干净窗口上任何编辑按定义都增加误差。准确的表述是这些方法有一半以上的编辑落在不该动的数据上。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共形保证在跨语料设定下失效，属实验设计问题。校准集与部署数据的可交换性不成立，改为同一池的随机划分后保证恢复。引入策略学习之后，策略更新同样会破坏可交换性，需要通过定期重新标定来控制。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按画像簇与算子交叉统计固定规则策略的接受率，插补的接受率在簇之间存在可检出的差异，而重分段在任何簇数下都没有，去尖峰随簇数增大迅速失去显著性，更像分辨率不足，去噪的候选数太少且低期望频数格子过多，不作为独立证据。策略学习的收益因而集中在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在簇与算子的全部组合中有四分之一从未被访问，其中两格合计覆盖语料近两成的窗口，而固定规则在这些窗口上一次也没有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画像簇不是分层标签的重述。簇与分层标签的调整互信息很低，说明画像几何捕捉的结构与人工分层基本正交。若两者高度一致，则接受率随簇变化这一现象将只是接受率随分层变化的换一种说法，而分层信息 CDP 已经以缺陷假设的形式给出，策略学习不会带来新信息。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p w14:paraId="303C6ACC" w14:textId="77777777" w:rsidR="000545C4" w:rsidRDefault="00000000">
      <w:pPr>
        <w:spacing w:after="0" w:line="240" w:lineRule="auto"/>
        <w:ind w:leftChars="0" w:left="420" w:hangingChars="200" w:hanging="420"/>
      </w:pPr>
      <w:r>
        <w:t xml:space="preserve">[28] Real-TSF Team. TIME: A benchmark of real world time series for forecasting model evaluation[EB/OL]. Hugging Face dataset, 2025</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