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p>
            <w:r>
              <w:t>LTSV[29]</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2）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 5 证明提交编辑的损害率由此获得有限样本的分布无关保证，并通过定理 1 证明合取判据造成的损害不超过其中任一单独条件。本文进一步以定理 2 说明，将结构约束写成目标函数中的惩罚项时损害率存在不可消除的下界，而写成合取条件时则不存在该下界，两种写法因而并不等价。该判据的有效性由实验一直接检验，其中一组对照考察以未过滤的效用读数作为奖励训练的策略是否会逐步提高削平类动作的提出频率。</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14:paraId="300F7780" w14:textId="77777777" w:rsidR="00205423" w:rsidRDefault="00000000">
      <w:pPr>
        <w:ind w:firstLineChars="200" w:firstLine="420"/>
      </w:pPr>
      <w:r>
        <w:rPr>
          <w:rFonts w:hint="eastAsia"/>
        </w:rPr>
        <w:t>（3）针对试错代价作用于不可恢复对象这一挑战，本文提出沙箱执行下的屏蔽反馈策略优化机制。由于候选动作均在副本上执行且提交需经判定，本文通过定理 4 证明对任意策略与任意探索强度，被提交编辑的结构失真均受同一阈值约束，未通过判定的尝试不留下任何痕迹。策略更新会改变候选分布，从而削弱共形标定所依赖的可交换性，本文以定理 6 给出两次标定之间保证退化的上界，其与标定间隔成正比、与已积累的访问次数成反比，为重新标定的频率提供了定量依据，并以定理 7 说明屏蔽在约束动作集的同时保留了策略学习的收敛性质。该性质由实验二直接检验，考察随交互次数累积的损害在沙箱执行与算子立即生效两种方式下的差别。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4781" w14:textId="77777777" w:rsidR="00205423" w:rsidRDefault="00000000">
      <w:pPr>
        <w:ind w:firstLineChars="200" w:firstLine="420"/>
      </w:pPr>
      <w:r>
        <w:rPr>
          <w:rFonts w:hint="eastAsia"/>
        </w:rPr>
        <w:t xml:space="preserve">另一支近期工作把估值直接建立在时序基础模型之上。LTSV[29]指出影响函数在基础模型规模上升时难以扩展，转而以一步上下文微调近似影响函数，用留出上下文损失在该次微调前后的下降量作为一个片段的取值，再以时间块聚合还原逐点分数以保留时间依赖。该做法把估值所需的开销从海森求逆降到一次前向与一次反向，与本文以冻结模型的前向反应作为证据的思路同源，差别在于它的产出仍是分数，用于取舍而不用于处理。</w:t>
      </w:r>
    </w:p>
    <w:p w14:paraId="30116670" w14:textId="77777777" w:rsidR="00205423"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还有一处限制来自输入形式，这一族把窗口展开为监督样本再打分，而监督样本无法承载缺失值，含缺失的窗口因此进不了它们的输入，这类窗口恰好是插补最该发挥作用的地方。</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趋于零而上界失效。该条件的检验方式是统计各状态下  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 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 就恰好为零而不是接近零。这意味着最坏情况形式在探索的早期阶段是按构造失效的，而不是因为数据碰巧出现了接近的取值，因此实测需要报告的是  取零的决策占比与其正值部分的下分位，而不只是一个下确界。实测结果见 4.2 节的消融与敏感性一组。</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m:oMath>
        <m:sSub>
          <m:e>
            <m:r>
              <m:t>T</m:t>
            </m:r>
          </m:e>
          <m:sub>
            <m:r>
              <m:rPr>
                <m:sty m:val="p"/>
              </m:rPr>
              <m:t>c</m:t>
            </m:r>
            <m:r>
              <m:rPr>
                <m:sty m:val="p"/>
              </m:rPr>
              <m:t>a</m:t>
            </m:r>
            <m:r>
              <m:rPr>
                <m:sty m:val="p"/>
              </m:rPr>
              <m:t>l</m:t>
            </m:r>
          </m:sub>
        </m:sSub>
      </m:oMath>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不激进的设定，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roofErr w:type="spellStart"/>
      <w:r>
        <w:rPr>
          <w:rFonts w:hint="eastAsia"/>
        </w:rPr>
      </w:r>
      <w:proofErr w:type="spellEnd"/>
      <w:r>
        <w:rPr>
          <w:rFonts w:hint="eastAsia"/>
        </w:rPr>
      </w:r>
      <w:r>
        <w:rPr>
          <w:rFonts w:hint="eastAsia"/>
        </w:rPr>
      </w:r>
      <w:r>
        <w:rPr>
          <w:rFonts w:hint="eastAsia"/>
        </w:rPr>
      </w:r>
      <w:r>
        <w:rPr>
          <w:rFonts w:hint="eastAsia"/>
        </w:rPr>
      </w:r>
      <w:r>
        <w:rPr>
          <w:rFonts w:hint="eastAsia"/>
        </w:rPr>
      </w:r>
      <w:r>
        <w:rPr>
          <w:rFonts w:hint="eastAsia"/>
        </w:rPr>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 xml:space="preserve">截断分位数的取值经过敏感性检验，取值本身是在观察奖励分布之后确定的，因此需要检验结论是否依赖它。取 90 与 95 与 99 三档重建价值表并比较策略在同一语料上选出的动作，三档对应的截断值分别为 1.7014 与 5.8867 与 58.7369，被截断的接受候选分别为 404 次中的 32 次与 17 次与 3 次。以上置信界选出的动作衡量，三档两两之间选中同一动作的窗口比例为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1.7014，压缩幅度已经触及分布主体而不只是尾部，据此把 95 分位作为下界，更低的取值改变的不再是极端值而是分布本身。</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 由定理 3 保证非空</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r>
            <w:r>
              <w:rPr>
                <w:rFonts w:hint="eastAsia"/>
              </w:rPr>
            </w:r>
            <w:r>
              <w:rPr>
                <w:rFonts w:hint="eastAsia"/>
              </w:rPr>
            </w:r>
            <w:r>
              <w:rPr>
                <w:rFonts w:hint="eastAsia"/>
              </w:rPr>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共五组。主实验在统一语料层协议下与全部基线同表比较，回答治理后的语料是否更好。其后三组各自隔离一个判断，分别是验收信号是否真的会失效、学习过程是否真的不破坏语料、以及策略学习是否真的带来收益。最后一组以消融与敏感性给出各模块的边际贡献与超参数的稳健性。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967F" w14:textId="77777777" w:rsidR="00205423" w:rsidRDefault="00000000">
      <w:pPr>
        <w:ind w:firstLineChars="200" w:firstLine="420"/>
      </w:pPr>
      <w:r>
        <w:rPr>
          <w:rFonts w:hint="eastAsia"/>
        </w:rPr>
        <w:t xml:space="preserve">稀有层与变点层由筛选给出而不是由构造给出，两层的判据在任何筛选结果产生之前写定。稀有层要求窗口触及该通道自身取值分布的尾部、越尾点占比不超过窗口的百分之五、且首尾四分位的中位数之差不超过半个四分位距，三条合起来刻画的是一次幅度大、持续短、并回到基线的真实事件。变点层取分段均值之差除以合并的段内标准差这一统计量，在尺度保持且不同时属于稀有层的窗口中，按族内秩取前若干。</w:t>
      </w:r>
    </w:p>
    <w:p w14:paraId="302C967F" w14:textId="77777777" w:rsidR="00205423" w:rsidRDefault="00000000">
      <w:pPr>
        <w:ind w:firstLineChars="200" w:firstLine="420"/>
      </w:pPr>
      <w:r>
        <w:rPr>
          <w:rFonts w:hint="eastAsia"/>
        </w:rPr>
        <w:t xml:space="preserve">变点层采用秩而不是阈值，理由来自一次实测而不是偏好。该统计量在三种单位下各测了两族每族 400 个窗口，没有一种单位能把两类语料放到同一尺度上，金融语料在分块稳健尺度与合并段内标准差两个单位下的中位数，都高于工业语料的九十分位。这不是阈值松紧的问题而是数据本身的性质，利率曲线的整体平移是每周都会发生的事，而变压器改变运行状态不是。任何单一阈值因此要么在工业语料上几乎筛不出东西，要么在金融语料上几乎全部收入。秩对单调重标度不变，两族各按自身分布取前若干，这与窗口筛选中以同通道同长度窗口的典型尺度作参照是同一个理由。</w:t>
      </w:r>
    </w:p>
    <w:p w14:paraId="302C967F" w14:textId="77777777" w:rsidR="00205423" w:rsidRDefault="00000000">
      <w:pPr>
        <w:ind w:firstLineChars="200" w:firstLine="420"/>
      </w:pPr>
      <w:r>
        <w:rPr>
          <w:rFonts w:hint="eastAsia"/>
        </w:rPr>
        <w:t xml:space="preserve">两版判据的对照可以说明这一改动的必要性。以绝对阈值表达时，1600 个窗口的池中只筛出 4 个变点窗口，六个数据集中有四个一个也没有。改为族内秩之后筛出 180 个，六个数据集全部提供该层，两族均无缺口。这一对照支撑本节关于稀有层与变点层取自数据本身而不是合成构造的表述，若该层只能靠合成构造填满，则设计缺陷者同时设计保护对象这一质疑仍然成立。</w:t>
      </w:r>
    </w:p>
    <w:p w14:paraId="302C967F" w14:textId="77777777" w:rsidR="00205423" w:rsidRDefault="00000000">
      <w:pPr>
        <w:ind w:firstLineChars="200" w:firstLine="420"/>
      </w:pPr>
      <w:r>
        <w:rPr>
          <w:rFonts w:hint="eastAsia"/>
        </w:rPr>
        <w:t xml:space="preserve">秩规则的代价一并写明。它总会返回结果，因而无法报告某类语料确实不存在合法变点，绝对阈值可以而它不能。作为补偿，选中层的统计量分布与注入水平位移之后的同一统计量分布并列报告，若两者相差很远，则该层是比它自称更弱的检验，无论结果如何都如实给出。</w:t>
      </w:r>
    </w:p>
    <w:p w14:paraId="302C967F" w14:textId="77777777" w:rsidR="00205423" w:rsidRDefault="00000000">
      <w:pPr>
        <w:ind w:firstLineChars="200" w:firstLine="420"/>
      </w:pPr>
      <w:r>
        <w:rPr>
          <w:rFonts w:hint="eastAsia"/>
        </w:rPr>
        <w:t xml:space="preserve">困难层的判据同样经过一次修正，其理由是定义错误而不是某一族筛不出窗口。原判据取季节强度与短滞后自相关的补，而接近随机游走的序列这两项都很高，于是被判为容易，随机游走却是预测问题中的经典困难例，统计量与它所命名的概念方向相反。这一判断独立于语料构成，在一份没有金融数据的语料上同样成立。现判据直接由可预测性定义困难，取差分序列上线性自回归所能解释的方差占比，以其补作为难度，这一形式对重标度不变，且与 2.2 节关于行为信号度量的是可预测程度这一表述相一致，原判据恰恰在窗口难以预测时称其容易，两处此前是矛盾的。</w:t>
      </w:r>
    </w:p>
    <w:p w14:paraId="302C967F" w14:textId="77777777" w:rsidR="00205423" w:rsidRDefault="00000000">
      <w:pPr>
        <w:ind w:firstLineChars="200" w:firstLine="420"/>
      </w:pPr>
      <w:r>
        <w:rPr>
          <w:rFonts w:hint="eastAsia"/>
        </w:rPr>
        <w:t xml:space="preserve">两版判据在两类语料上的分布对照本身就是新判据正确的证据。原判据下工业与金融的难度中位分别为 0.1905 与 0.0105，相差十八倍，且方向与实际的预测难度相反。新判据下两者为 0.8338 与 0.9151，相差在一成以内，方向一致。新判据下金融仍略高于工业，这一位移按信号处理而不是按误差处理，金融价格序列比设备遥测更接近随机游走，一个能正确识别随机游走为困难的统计量本就应当把它们排得更高。由于金融的五分位数高于工业的二十五分位数，全局排序会使该层几乎只来自一类语料，因此困难层同样采用族内秩。</w:t>
      </w:r>
    </w:p>
    <w:p w14:paraId="302C967F" w14:textId="77777777" w:rsidR="00205423" w:rsidRDefault="00000000">
      <w:pPr>
        <w:ind w:firstLineChars="200" w:firstLine="420"/>
      </w:pPr>
      <w:r>
        <w:rPr>
          <w:rFonts w:hint="eastAsia"/>
        </w:rPr>
        <w:t xml:space="preserve">稀有层存在一处程度较轻的来源偏向，如实写明而不作修正。各数据集的合格率相差很大，工业在 0.075 至 0.173 之间，金融在 0.015 至 0.043 之间，其中池规模最大的一项合格率反而最低，仅为 0.015，约为最高者的十一分之一。这说明缺口不是配额与池规模不匹配，而是判据在各数据集上的自然产出差异。机制来自判据中回到基线这一条，它要求窗口首尾四分位的中位数之差不超过半个四分位距，而金融序列普遍带有趋势，首尾差距因此常常超出该限。该层由此偏向工业语料，但金融仍有贡献，在 201 个窗口中占 37 个。</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八项，非消融实验的表格一律列全这八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 xml:space="preserve">（5）TimeInf[11]，把影响函数定义在时间块上再聚合到时间点，代表打分式选择路线中面向时序设计的一支。（6）Data-OOB[10]，用袋外估计给出样本价值，隔离的变量是估值方法忽略时间依赖时会损失什么。（7）LTSV[29]，在冻结的时序基础模型上做一步上下文微调，以留出上下文损失的下降量作为片段取值，再按时间块聚合到窗口，隔离的变量是估值直接建立在基础模型行为之上而不是建立在一个替代回归模型之上。该项与本文的取证环节最为接近，两者都读取冻结模型对一个窗口的反应，差别在于它只据此给出分数，本文据此选择并裁决一次编辑。打分族的其余工作在产出形式上一致，都给样本分数再按分数取舍，彼此的差别在估值器而不在产出，而本文的比较发生在整备后语料这一层，因此 Data Shapley 与 KNN Shapley 不单列，前者与 Data-OOB 同属博弈论估值而开销高出一个量级。（8）学习策略不配屏蔽，即把算子直接作用于原数据，代表同期强化学习清洗方案的做法，隔离的变量是屏蔽本身的有无。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 xml:space="preserve">软惩罚、单信号屏蔽、规约式否决与无屏蔽这几种对照不计入基线清单，它们改变的是本文方法内部的一个环节而不是一个独立的已发表方法。它们各自出现的位置按其所隔离的环节确定。软惩罚与单信号屏蔽出现在实验一，那一组要问的是判据本身是否有效，前者把结构约束写成目标函数中的惩罚项，后者只保留效用一路信号，两者与合取判据的差别正是该组要度量的东西。无屏蔽与规约式否决出现在实验二与消融，前者是消融的第一档，后者用于说明事先写定的规约在无标签场景下无法给出阈值。随机策略出现在实验三，作为策略学习收益的下界。这一安排使每种对照只在它能说明问题的那一组里出现，而不是在每张表里重复列出。消融只含本文方法的各档变体，不含基线。</w:t>
      </w:r>
    </w:p>
    <w:p w14:paraId="253BB769" w14:textId="77777777" w:rsidR="00205423" w:rsidRDefault="00000000">
      <w:pPr>
        <w:ind w:firstLineChars="200" w:firstLine="420"/>
      </w:pPr>
      <w:r>
        <w:rPr>
          <w:rFonts w:hint="eastAsia"/>
        </w:rPr>
        <w:t xml:space="preserve">TSRating[12]不进入基线清单，理由是一次实测而不是可得性的笼统说法。该方法从大模型的成对判断蒸馏出评分器，其可用性取决于判断本身是否稳定，因此在任何标注开始之前先做了一次一致性检查，模板、序列化、生成次数与解析全部沿用原仓库，只替换判断后端。取 15 对窗口，每对以正反两种呈现顺序各判断 20 次，覆盖趋势、频率、幅度与模式四个维度。结果是交换呈现顺序之后偏好翻转的比例为 0.508，即与抛硬币无异。机制可以直接读出，把两种顺序合起来统计，73.6% 的票投给了排在前面的那个选项，中位数为 76.0%，60 个配对维度中有 17 个的首位得票率不低于 90%，这是位置偏好而不是判断。该方法自带的两序平均也未能挽回，平均之后有 24 个配对维度落在它自己视为未决的区间内。需要限定的是，这是关于后端替换的结论而不是关于该方法的结论，原文在其所用的判断后端上报告结果，此处确立的是所替换的后端在该配置下不复现该方法所假定的判断行为。</w:t>
      </w:r>
    </w:p>
    <w:p w14:paraId="253BB769" w14:textId="77777777" w:rsidR="00205423" w:rsidRDefault="00000000">
      <w:pPr>
        <w:ind w:firstLineChars="200" w:firstLine="420"/>
      </w:pPr>
      <w:r>
        <w:rPr>
          <w:rFonts w:hint="eastAsia"/>
        </w:rPr>
        <w:t xml:space="preserve">这一检查同时给出了一个与主表计算开销一列直接相关的数字。按实测的每对每维开销外推，两千窗口乘四个维度约需 16000 个配对维度，折合约 2100 元与 32 小时。依赖外部大模型判断的方法因而在语料规模上存在成本门槛，而本文的证据来自对冻结模型的前向探测，其开销随语料线性增长且不涉及外部服务。这一对照是主表保留计算开销一列的实测依据之一。</w:t>
      </w:r>
    </w:p>
    <w:p w14:paraId="253BB769" w14:textId="77777777" w:rsidR="00205423" w:rsidRDefault="00000000">
      <w:pPr>
        <w:ind w:firstLineChars="200" w:firstLine="420"/>
      </w:pPr>
      <w:r>
        <w:rPr>
          <w:rFonts w:hint="eastAsia"/>
        </w:rPr>
        <w:t xml:space="preserve">该后端的推理模式单独试过一次，结论是这条路同样不通，但失效方式不同，因此一并记下。打开推理之后可计分的配对全部一致，翻转率为零，但可计分的只有 24 个配对维度中的 16 个，不可计分率为 0.333，零翻转因而不能单独作为结论。逐条查看原始回复可以定性，失败并非模型给不出判断，也不是回复格式不符，而是推理占满了输出预算。一个典型的不可计分样本上，第一次生成的结束原因为长度，推理消耗 2048 个 token 而正文为空，同一配对的第二次生成推理消耗 416 个 token 并正常给出判断。这意味着被丢弃的恰是模型推理更长的那些配对，而推理更长通常对应更难判断的配对，于是留下的是模型觉得容易的那一部分，零翻转属于幸存者偏差。两个数字因此必须同时报告，关闭推理时翻转率 0.508 而不可计分率为零，打开推理时翻转率为零而不可计分率 0.333。两种配置的唯一差异是输出上限由 8 提高到 2048，这一改动由模式本身强制而非选择，关闭推理时每次调用的推理开销约 23 个 token，打开后约 1440 个。该项到此为止，不再追加分支，TSRating 因而不进入基线清单，在全基线表中保留该行并标注不适用及上述理由。</w:t>
      </w:r>
    </w:p>
    <w:p w14:paraId="253BB769" w14:textId="77777777" w:rsidR="00205423" w:rsidRDefault="00000000">
      <w:pPr>
        <w:ind w:firstLineChars="200" w:firstLine="420"/>
      </w:pPr>
      <w:r>
        <w:rPr>
          <w:rFonts w:hint="eastAsia"/>
        </w:rPr>
        <w:t xml:space="preserve">打分族在缺失类缺陷上还有一处结构性局限，它在本文的语料上以一个可以预先算出的比例出现，因此写在这里而不是留作实现细节。这一族的方法把窗口展开为监督样本再打分，而监督样本无法承载缺失值，于是注入了缺失的窗口根本进不了它们的输入。该比例不是一个常数，它等于注入层在语料中的占比乘以七种缺陷中会产生缺失的两种，即注入层占比乘以七分之二。两份语料上的实测与该关系吻合，注入层占六成七的语料上为 19%，占三成七的语料上预测为 0.1057 而实测为 0.1060。报告这一关系比报告某一个比例更有用，因为它说明该族失效的范围随语料的含缺失比例而定，注入层占比越高，这一族无法处理的部分越大。本文的处理规则在任何分数产生之前定死，这些窗口不从比较中剔除，而是作为未被选中带进每个打分臂的整备语料，理由是给不出分数的窗口本来就留不住，这正是该族在此类数据上的真实行为。事前对它们插补的做法被否决，那会把本文算子的产物送进基线的输入，使基线在一份已经受过干预的语料上受评。该比例在主表中与选择比例并列给出，它也是打分族与本文方法在缺失类缺陷上产生差异的直接来源。</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 xml:space="preserve">评价体系分主表与分析两层。主表用于跨方法比较，因此收到五个指标，取的是各族方法都能产出且已发表工作普遍报告的口径。分析层用于解释本文方法内部的行为，进入正文讨论而不进主表，理由是这些量只有产出逐动作裁决的方法才有，打分族在其上一律不适用，放进主表会得到一张多数格子为空的表。</w:t>
      </w:r>
    </w:p>
    <w:p w14:paraId="302DEAC4" w14:textId="77777777" w:rsidR="00205423" w:rsidRDefault="00000000">
      <w:pPr>
        <w:ind w:firstLineChars="200" w:firstLine="420"/>
      </w:pPr>
      <w:r>
        <w:rPr>
          <w:rFonts w:hint="eastAsia"/>
        </w:rPr>
        <w:t xml:space="preserve">主表的五个指标如下。下游预测误差在治理后的语料上训练 PatchTST[25]与 DLinear[26]并报误差，两者分别代表基于注意力与基于线性映射的预测器，采用配对口径以隔离语料采样带来的方差，该口径与 TSRating[12]及同期工作一致，便于横向对照。受保护层误编辑数统计干净、稀有与困难三层上被改动的窗口数，它衡量方法在不该动手的地方动手的程度。损害率按定义 1 统计被提交编辑中使窗口更远离干净参考的比例。修复增益统计注入层上对干净参考的距离下降幅度。计算开销以整备全部语料所需的时间与加速器占用衡量，它之所以进主表而不是作为附注，是因为各族的单位代价相差很大，打分族需要反复重训或海森向量积，本文的探测只做前向，不把开销与效果并列，跨族比较就只剩下半张表。</w:t>
      </w:r>
    </w:p>
    <w:p w14:paraId="302E09B3" w14:textId="77777777" w:rsidR="00205423" w:rsidRDefault="00000000">
      <w:pPr>
        <w:ind w:firstLineChars="200" w:firstLine="420"/>
      </w:pPr>
      <w:r>
        <w:rPr>
          <w:rFonts w:hint="eastAsia"/>
        </w:rPr>
        <w:t xml:space="preserve">分析层包含四类量，评估的对象是智能体本身。动作选择准确率在已知缺陷类型的窗口上统计策略选中对应算子的比例，按缺陷类型给出混淆矩阵。预算效率以横轴为累计探测次数、纵轴为治理收益的曲线呈现，用于比较不同的预算分配方式。弃权质量以覆盖率与错误率的风险覆盖曲线呈现，用于判断拒绝处理是否发生在应当拒绝的地方。探索代价统计学习过程中累计造成的损害，用于验证定理 4 所述的结构安全性。这四类都只在产出逐动作裁决的方法上有定义，因此在正文中讨论而不列入主表。</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 xml:space="preserve">主实验在统一语料层协议下与全部基线同表比较。各方法从同一份含缺陷语料出发产出各自整备后的语料，用同一下游模型训练并报 4.1.4 节的五个主表指标，表中列全 4.1.3 节的七项基线，某项若因协议不适用而缺列，标注不适用并于表注说明理由，不省略该行。预算分配的效果并入本表而不单独成组，具体做法是在开销一列之外并列两列，收益侧记跳过窗口所省下的探测次数，代价侧记这些窗口中含真实污染的数量。两列必须同时出现，只报节省不报漏检会让这一机制显得没有代价。</w:t>
      </w:r>
    </w:p>
    <w:p w14:paraId="3034523F" w14:textId="191838DC" w:rsidR="00205423" w:rsidRDefault="00000000" w:rsidP="00315C73">
      <w:pPr>
        <w:ind w:firstLineChars="200" w:firstLine="420"/>
      </w:pPr>
      <w:r>
        <w:rPr>
          <w:rFonts w:hint="eastAsia"/>
        </w:rPr>
        <w:t xml:space="preserve">实验一刻画验收信号在什么地方失效，这是引入结构条件的前提。模型行为信号在部分干净数据上会给出与有害性相反的读数，该实验确认这一现象是否成立。对照取自同为干净但结构相差很远的两组窗口，一组是困难层中难以预测的窗口，另一组是稀有层中取值落在分布尾部的窗口，两组都未经任何注入。这里有一条关系到该实验是否成立的设置，困难层的判据不使用被判模型的任何分量。该实验要问的正是行为信号会不会把干净但复杂的数据误读为低质，若困难层由同一信号定义，那么被问的结论就已经写进了语料的构造之中，实验成为循环论证。因此困难层由差分序列上的可预测程度这一纯统计量给出，与模型池无关。分别统计行为风险的分布并与注入层对照，若信号度量的是可预测程度，三组的读数会按结构复杂度排列，与是否被污染无关。同时统计各层的编辑经济学，即每破坏单位方差换到的效用增益。该实验列全部基线，用以说明这一失效并非本文方法特有，凡以模型表现为判定依据的方法都会受到影响。</w:t>
      </w:r>
    </w:p>
    <w:p w14:paraId="3034AF0C" w14:textId="6CFBF5F9" w:rsidR="00205423" w:rsidRDefault="00000000" w:rsidP="00315C73">
      <w:pPr>
        <w:ind w:firstLineChars="200" w:firstLine="420"/>
      </w:pPr>
      <w:r>
        <w:rPr>
          <w:rFonts w:hint="eastAsia"/>
        </w:rPr>
        <w:t xml:space="preserve">实验二验证定理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观察两种方式的差距如何随探索强度变化。表中同时列出全部基线在同一语料上的最终损害作为参照行，基线不进行探索，其损害为一次性产生而非随交互累积，这一差别在表注中说明。</w:t>
      </w:r>
    </w:p>
    <w:p w14:paraId="30350BD9" w14:textId="6A843541" w:rsidR="00205423" w:rsidRDefault="00000000" w:rsidP="00315C73">
      <w:pPr>
        <w:ind w:firstLineChars="200" w:firstLine="420"/>
      </w:pPr>
      <w:r>
        <w:rPr>
          <w:rFonts w:hint="eastAsia"/>
        </w:rPr>
        <w:t xml:space="preserve">实验三量化策略学习相对于固定规则的改进，这是本文强化学习定位的直接支撑。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用以检验早期版本中重试失效的原因是否为策略无法适应窗口类型。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主实验的开销与探测次数两列上。</w:t>
      </w:r>
    </w:p>
    <w:p w14:paraId="27770911" w14:textId="0498606A" w:rsidR="00205423" w:rsidRDefault="00000000">
      <w:pPr>
        <w:ind w:firstLineChars="200" w:firstLine="420"/>
      </w:pPr>
      <w:r>
        <w:rPr>
          <w:rFonts w:hint="eastAsia"/>
        </w:rPr>
        <w:t xml:space="preserve">第五组以消融与敏感性给出各模块的边际贡献与超参数的稳健性，只含本文方法的各档变体，不含基线。消融收为六档，即无屏蔽、无结构条件、无策略学习、无候选注入、以原始效用为奖励与完整方法。其中以原始效用为奖励一档承担原先单独成组的奖励塑形对照，它与完整方法只差奖励定义，前者用未经过滤的效用变化，后者用屏蔽后的奖励，记录两者在受保护层上提出削平类动作的频率随训练轮次的变化，这是 3.3 节所述屏蔽第二重职责的直接检验。每档报告损害与修复两栏，并额外报告每次编辑的平均损害与平均修复，以消除编辑数差异的干扰。敏感性部分扫描目标损害率、探索系数、注入概率与标定间隔，其中标定间隔一档用于检验定理 6 给出的退化上界与实测退化是否吻合，并统计各状态下置信上界间隔的经验分布与其取零的比例，以判断该定理所需的间隔条件在本文设定中何时开始满足。</w:t>
      </w:r>
    </w:p>
    <w:p w14:paraId="27770911" w14:textId="0498606A" w:rsidR="00205423" w:rsidRDefault="00000000">
      <w:pPr>
        <w:ind w:firstLineChars="200" w:firstLine="420"/>
      </w:pPr>
      <w:r>
        <w:rPr>
          <w:rFonts w:hint="eastAsia"/>
        </w:rPr>
        <w:t xml:space="preserve">消融档位的取舍有依据，一并记下以免被读作随意删减。无效用条件一档去掉，理由是实测中效用条件的否决次数远高于结构条件，在两千窗口上分别为 769 次与 616 次，去掉效用条件之后剩下的接受集与无屏蔽相差很小，两档给出的信息高度重复。无预算分配一档去掉，理由是该机制的效果已经由主实验的开销列与探测次数两列直接呈现，再设一档只是把同一件事换个位置报一遍。无同类校准一档去掉，理由是早期实测已经表明它与全局标准化在判别力上没有可检出的差别，该结论及其数据保留在 6.1 节，不占用消融的位置。这三档的去除都基于已有实测而不是预算考虑，若后续数据推翻上述任何一条，对应档位应当恢复。</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Wu S, Li D, Feng W, et al.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p w14:paraId="50FB0684" w14:textId="77777777" w:rsidR="00205423" w:rsidRDefault="00000000">
      <w:pPr>
        <w:ind w:left="420" w:hangingChars="200" w:hanging="420"/>
      </w:pPr>
      <w:r>
        <w:t>[29] Wu S, Li T, Leng Y, et al. Lightweight time series data valuation on time series foundation models via in-context finetuning[C]//Proceedings of the 31st International Conference on Database Systems for Advanced Applications. 2026</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