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BCF8C">
      <w:pPr>
        <w:pStyle w:val="3"/>
      </w:pPr>
      <w:r>
        <w:t>BTC合约分析策略模板</w:t>
      </w:r>
    </w:p>
    <w:p w14:paraId="5F32DE66">
      <w:pPr>
        <w:pStyle w:val="4"/>
      </w:pPr>
      <w:r>
        <w:t>背景说明</w:t>
      </w:r>
    </w:p>
    <w:p w14:paraId="13FB859F">
      <w:pPr>
        <w:rPr>
          <w:rFonts w:hint="default" w:eastAsia="宋体"/>
          <w:lang w:val="en-US" w:eastAsia="zh-CN"/>
        </w:rPr>
      </w:pPr>
      <w:r>
        <w:t>我已经通过一个程序输出了 BTC 合约的 K 线数据及详细的技术指标信息，同时包含账户余额和持仓数据。现需</w:t>
      </w:r>
      <w:r>
        <w:rPr>
          <w:rFonts w:hint="eastAsia" w:eastAsia="宋体"/>
          <w:lang w:val="en-US" w:eastAsia="zh-CN"/>
        </w:rPr>
        <w:t>你</w:t>
      </w:r>
      <w:r>
        <w:t>深入分析这些数据，通过多层次的深度推理与多轮验证，最终得出明确的策略建议。</w:t>
      </w:r>
      <w:r>
        <w:br w:type="textWrapping"/>
      </w:r>
      <w:r>
        <w:rPr>
          <w:rFonts w:hint="eastAsia" w:eastAsia="宋体"/>
          <w:lang w:val="en-US" w:eastAsia="zh-CN"/>
        </w:rPr>
        <w:t>现在由你扮演一位资深的合约交易者，帮我分析btc合约</w:t>
      </w:r>
    </w:p>
    <w:p w14:paraId="726669A8">
      <w:pPr>
        <w:pStyle w:val="4"/>
      </w:pPr>
      <w:r>
        <w:t>完成需求</w:t>
      </w:r>
    </w:p>
    <w:p w14:paraId="5887CD80">
      <w:pPr>
        <w:pStyle w:val="5"/>
      </w:pPr>
      <w:r>
        <w:t>深度推理与推理</w:t>
      </w:r>
    </w:p>
    <w:p w14:paraId="4FFE3D83">
      <w:r>
        <w:t>- 对数据进行详细解读，确保理解每个字段的含义以及数据之间的逻辑关系。</w:t>
      </w:r>
      <w:r>
        <w:br w:type="textWrapping"/>
      </w:r>
      <w:r>
        <w:t>- 按时间周期逐层推理，动态分析最具参考价值的主导周期。</w:t>
      </w:r>
      <w:r>
        <w:br w:type="textWrapping"/>
      </w:r>
      <w:r>
        <w:t>- 在分析过程中假设多种可能性（如趋势延续或反转），并逐一验证这些假设。</w:t>
      </w:r>
      <w:r>
        <w:br w:type="textWrapping"/>
      </w:r>
      <w:r>
        <w:t>- 确保每一步推理都有数据支持，并与上层分析逻辑一致。</w:t>
      </w:r>
    </w:p>
    <w:p w14:paraId="4B32596E">
      <w:pPr>
        <w:pStyle w:val="5"/>
      </w:pPr>
      <w:r>
        <w:t>反复验证与分析</w:t>
      </w:r>
    </w:p>
    <w:p w14:paraId="318DF8BF">
      <w:pPr>
        <w:rPr>
          <w:rFonts w:hint="eastAsia"/>
        </w:rPr>
      </w:pPr>
      <w:r>
        <w:t>- 对首次提出的策略，从技术指标、周期趋势、账户信息、持仓情况等维度</w:t>
      </w:r>
      <w:r>
        <w:rPr>
          <w:rFonts w:hint="eastAsia" w:eastAsia="宋体"/>
          <w:lang w:val="en-US" w:eastAsia="zh-CN"/>
        </w:rPr>
        <w:t>深度分析、仔细推理</w:t>
      </w:r>
      <w:r>
        <w:t>再次验证其合理性。</w:t>
      </w:r>
      <w:r>
        <w:br w:type="textWrapping"/>
      </w:r>
      <w:r>
        <w:t>- 若发现问题，重新调整假设和策略，并再次验证。</w:t>
      </w:r>
      <w:r>
        <w:br w:type="textWrapping"/>
      </w:r>
      <w:r>
        <w:t>- 通过多轮推理，确保策略在逻辑上时序合理，数据支持充分，具有较强的执行性。</w:t>
      </w:r>
      <w:r>
        <w:br w:type="textWrapping"/>
      </w:r>
      <w:r>
        <w:br w:type="textWrapping"/>
      </w:r>
      <w:r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在分析数据时,请注意:</w:t>
      </w:r>
    </w:p>
    <w:p w14:paraId="748BC3EF">
      <w:pPr>
        <w:rPr>
          <w:rFonts w:hint="eastAsia"/>
        </w:rPr>
      </w:pPr>
      <w:r>
        <w:rPr>
          <w:rFonts w:hint="eastAsia"/>
        </w:rPr>
        <w:t>1. 不要</w:t>
      </w:r>
      <w:r>
        <w:rPr>
          <w:rFonts w:hint="eastAsia" w:eastAsia="宋体"/>
          <w:lang w:val="en-US" w:eastAsia="zh-CN"/>
        </w:rPr>
        <w:t>只是</w:t>
      </w:r>
      <w:r>
        <w:rPr>
          <w:rFonts w:hint="eastAsia"/>
        </w:rPr>
        <w:t>机械化套用指标,要从趋势、形态、联动等多角度解读行情</w:t>
      </w:r>
    </w:p>
    <w:p w14:paraId="6508A624">
      <w:pPr>
        <w:rPr>
          <w:rFonts w:hint="eastAsia"/>
        </w:rPr>
      </w:pPr>
      <w:r>
        <w:rPr>
          <w:rFonts w:hint="eastAsia"/>
        </w:rPr>
        <w:t>2. 深入挖掘背后的供需关系、市场情绪等深层次规律,判断趋势持续性</w:t>
      </w:r>
    </w:p>
    <w:p w14:paraId="2E24B994">
      <w:pPr>
        <w:rPr>
          <w:rFonts w:hint="eastAsia"/>
        </w:rPr>
      </w:pPr>
      <w:r>
        <w:rPr>
          <w:rFonts w:hint="eastAsia"/>
        </w:rPr>
        <w:t>3. 权衡不同周期和指标间的异同,发现主要矛盾,避免片面看待</w:t>
      </w:r>
    </w:p>
    <w:p w14:paraId="79BA63B5">
      <w:pPr>
        <w:rPr>
          <w:rFonts w:hint="eastAsia"/>
        </w:rPr>
      </w:pPr>
      <w:r>
        <w:rPr>
          <w:rFonts w:hint="eastAsia"/>
        </w:rPr>
        <w:t>4. 结合持仓成本、盈亏比、回撤空间等,得出风险最小、胜率最大的策略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 w:eastAsia="宋体"/>
          <w:lang w:val="en-US" w:eastAsia="zh-CN"/>
        </w:rPr>
        <w:t>5.</w:t>
      </w:r>
      <w:r>
        <w:rPr>
          <w:rFonts w:hint="eastAsia"/>
        </w:rPr>
        <w:t>请保持严密的逻辑,将各方面的分析有机串联,形成有说服力的整体判断。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 w:eastAsia="宋体"/>
          <w:lang w:val="en-US" w:eastAsia="zh-CN"/>
        </w:rPr>
        <w:t>6.</w:t>
      </w:r>
      <w:r>
        <w:rPr>
          <w:rFonts w:hint="eastAsia"/>
        </w:rPr>
        <w:t>希望通过这些思考方式的融会贯通,你能充分运用数据挖掘潜在的交易机会,并提出经得起检验的策略建议</w:t>
      </w:r>
      <w:r>
        <w:rPr>
          <w:rFonts w:hint="eastAsia"/>
        </w:rPr>
        <w:br w:type="textWrapping"/>
      </w:r>
    </w:p>
    <w:p w14:paraId="1B1475CE"/>
    <w:p w14:paraId="12277382">
      <w:pPr>
        <w:pStyle w:val="5"/>
      </w:pPr>
      <w:r>
        <w:t>策略输出</w:t>
      </w:r>
    </w:p>
    <w:p w14:paraId="2A902715">
      <w:r>
        <w:t>- 明确的策略建议，包含以下内容：</w:t>
      </w:r>
      <w:r>
        <w:br w:type="textWrapping"/>
      </w:r>
      <w:r>
        <w:t xml:space="preserve">  - 开仓点：建议开仓的具体价格。</w:t>
      </w:r>
      <w:r>
        <w:br w:type="textWrapping"/>
      </w:r>
      <w:r>
        <w:t xml:space="preserve">  - 杠杆倍数：结合账户信息与风险评估，建议合理的杠杆倍数。</w:t>
      </w:r>
      <w:r>
        <w:br w:type="textWrapping"/>
      </w:r>
      <w:r>
        <w:t xml:space="preserve">  - 止盈点与止损点：基于技术指标和数据波动分析得出。</w:t>
      </w:r>
      <w:r>
        <w:br w:type="textWrapping"/>
      </w:r>
      <w:r>
        <w:t xml:space="preserve">  - 保证金使用建议：结合账户余额与风险管理，建议可用保证金比例。</w:t>
      </w:r>
      <w:r>
        <w:br w:type="textWrapping"/>
      </w:r>
      <w:r>
        <w:t xml:space="preserve">  - 持仓调整建议：若已有持仓，明确说明是否应加仓、减仓或平仓。</w:t>
      </w:r>
      <w:r>
        <w:br w:type="textWrapping"/>
      </w:r>
      <w:r>
        <w:t xml:space="preserve">  - 下一次监控周期：建议在多长时间后重新分析市场数据并评估策略。</w:t>
      </w:r>
      <w:r>
        <w:br w:type="textWrapping"/>
      </w:r>
      <w:r>
        <w:t>- 允许不开仓：若市场信号不足或风险过大，提出“不开仓”的保守建议，并说明逻辑。</w:t>
      </w:r>
    </w:p>
    <w:p w14:paraId="563426A8">
      <w:pPr>
        <w:pStyle w:val="4"/>
      </w:pPr>
      <w:r>
        <w:t>数据背景</w:t>
      </w:r>
    </w:p>
    <w:p w14:paraId="429AFA07">
      <w:r>
        <w:t>分析的数据来自于一个 JSON 文件，包含以下核心部分：</w:t>
      </w:r>
      <w:r>
        <w:br w:type="textWrapping"/>
      </w:r>
      <w:r>
        <w:t>1. 账户信息（account_info）：</w:t>
      </w:r>
      <w:r>
        <w:br w:type="textWrapping"/>
      </w:r>
      <w:r>
        <w:t xml:space="preserve">   - 包含账户余额、持仓情况（平均开仓价格、未实现盈亏等）。</w:t>
      </w:r>
      <w:r>
        <w:br w:type="textWrapping"/>
      </w:r>
      <w:r>
        <w:t>2. 时间周期分类（timeframes）：</w:t>
      </w:r>
      <w:r>
        <w:br w:type="textWrapping"/>
      </w:r>
      <w:r>
        <w:t xml:space="preserve">   - 包含中线周期的 K 线数据和技术指标（RSI、MACD、Bollinger 等）。</w:t>
      </w:r>
      <w:r>
        <w:br w:type="textWrapping"/>
      </w:r>
      <w:r>
        <w:t>3. 指标参数（indicators_params）：</w:t>
      </w:r>
      <w:r>
        <w:br w:type="textWrapping"/>
      </w:r>
      <w:r>
        <w:t xml:space="preserve">   - 每个周期的技术指标具体参数配置。</w:t>
      </w:r>
      <w:r>
        <w:br w:type="textWrapping"/>
      </w:r>
      <w:r>
        <w:t>4. 数据内容（kline_with_indicators）：</w:t>
      </w:r>
      <w:r>
        <w:br w:type="textWrapping"/>
      </w:r>
      <w:r>
        <w:t xml:space="preserve">   - 包含每根 K 线数据及对应的技术指标值（如 RSI、MACD 等）。</w:t>
      </w:r>
    </w:p>
    <w:p w14:paraId="3F6FAC4B">
      <w:pPr>
        <w:pStyle w:val="4"/>
      </w:pPr>
      <w:r>
        <w:t>分析过程与逻辑</w:t>
      </w:r>
    </w:p>
    <w:p w14:paraId="1BD25165">
      <w:pPr>
        <w:pStyle w:val="5"/>
      </w:pPr>
      <w:r>
        <w:t>动态周期判断与趋势分析</w:t>
      </w:r>
    </w:p>
    <w:p w14:paraId="5EB0BB52">
      <w:r>
        <w:t>1. 动态选择主导周期：</w:t>
      </w:r>
      <w:r>
        <w:br w:type="textWrapping"/>
      </w:r>
      <w:r>
        <w:t>- 根据当前市场数据，自动选择最具参考价值的主导周期。</w:t>
      </w:r>
      <w:r>
        <w:br w:type="textWrapping"/>
      </w:r>
      <w:r>
        <w:t>- 若市场整体趋势清晰，选取趋势信号最强的周期作为主导分析周期。</w:t>
      </w:r>
      <w:r>
        <w:br w:type="textWrapping"/>
      </w:r>
      <w:r>
        <w:t>- 若市场趋势不明确，允许提出“不开仓”的结论，并提供逻辑依据。</w:t>
      </w:r>
      <w:r>
        <w:br w:type="textWrapping"/>
      </w:r>
      <w:r>
        <w:t>2. 趋势分析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需要</w:t>
      </w:r>
      <w:r>
        <w:t>宏观趋势分析</w:t>
      </w:r>
      <w:r>
        <w:rPr>
          <w:rFonts w:hint="eastAsia" w:eastAsia="宋体"/>
          <w:lang w:val="en-US" w:eastAsia="zh-CN"/>
        </w:rPr>
        <w:t>和</w:t>
      </w:r>
      <w:r>
        <w:t>细化趋势验证：</w:t>
      </w:r>
      <w:r>
        <w:br w:type="textWrapping"/>
      </w:r>
    </w:p>
    <w:p w14:paraId="40AB048A">
      <w:pPr>
        <w:pStyle w:val="5"/>
      </w:pPr>
      <w:r>
        <w:t>多轮验证与逻辑闭环</w:t>
      </w:r>
    </w:p>
    <w:p w14:paraId="1FEC5874">
      <w:pPr>
        <w:rPr>
          <w:rFonts w:hint="default" w:eastAsia="宋体"/>
          <w:lang w:val="en-US" w:eastAsia="zh-CN"/>
        </w:rPr>
      </w:pPr>
      <w:r>
        <w:t>1. 初步策略推理：</w:t>
      </w:r>
      <w:r>
        <w:br w:type="textWrapping"/>
      </w:r>
      <w:r>
        <w:t>- 根据分析得出初步策略，包括开仓点位、止盈止损点、杠杆倍数等。</w:t>
      </w:r>
      <w:r>
        <w:br w:type="textWrapping"/>
      </w:r>
      <w:r>
        <w:t>- 确保初步策略有明确的技术指标支持。</w:t>
      </w:r>
      <w:r>
        <w:br w:type="textWrapping"/>
      </w:r>
      <w:r>
        <w:t>2. 多维度验证：</w:t>
      </w:r>
      <w:r>
        <w:br w:type="textWrapping"/>
      </w:r>
      <w:r>
        <w:t>- 技术指标：验证 RSI、MACD、Bollinger 等</w:t>
      </w:r>
      <w:r>
        <w:rPr>
          <w:rFonts w:hint="eastAsia" w:eastAsia="宋体"/>
          <w:lang w:val="en-US" w:eastAsia="zh-CN"/>
        </w:rPr>
        <w:t>json文件里边的</w:t>
      </w:r>
      <w:r>
        <w:t>指标是否支持策略。</w:t>
      </w:r>
      <w:r>
        <w:br w:type="textWrapping"/>
      </w:r>
      <w:r>
        <w:t>- 周期趋势：验证策略是否符合多个周期趋势的逻辑。</w:t>
      </w:r>
      <w:r>
        <w:br w:type="textWrapping"/>
      </w:r>
      <w:r>
        <w:t>- 账户信息：确保策略符合账户余额与持仓的风险管理需求。</w:t>
      </w:r>
      <w:r>
        <w:br w:type="textWrapping"/>
      </w:r>
      <w:r>
        <w:t>3. 调整与优化：</w:t>
      </w:r>
      <w:r>
        <w:br w:type="textWrapping"/>
      </w:r>
      <w:r>
        <w:t>- 若发现初步策略存在逻辑问题或数据支持不足，调整假设并重新验证。</w:t>
      </w:r>
      <w:r>
        <w:br w:type="textWrapping"/>
      </w:r>
      <w:r>
        <w:t>- 确保最终策略经过多轮验证，逻辑严密且风险可控。</w:t>
      </w:r>
      <w:r>
        <w:br w:type="textWrapping"/>
      </w:r>
      <w:r>
        <w:rPr>
          <w:rFonts w:hint="eastAsia" w:eastAsia="宋体"/>
          <w:lang w:val="en-US" w:eastAsia="zh-CN"/>
        </w:rPr>
        <w:t>给我一个中线策略和一个长线策略，</w:t>
      </w:r>
      <w:r>
        <w:br w:type="textWrapping"/>
      </w:r>
      <w:r>
        <w:rPr>
          <w:rFonts w:hint="eastAsia" w:eastAsia="宋体"/>
          <w:lang w:val="en-US" w:eastAsia="zh-CN"/>
        </w:rPr>
        <w:t>再输出最终策略之前，利用我发给你的json格式的数据进行策略回测，验证策略是否可靠，如果未达到你认为的预期，就再次从新分析，深入分析，然后再次回测，直到策达到你认为的预期，你在输出最终的策略。输出的最终策略，输出具体策略要给到您深入分析后精确的数值。</w:t>
      </w:r>
      <w:bookmarkStart w:id="0" w:name="_GoBack"/>
      <w:bookmarkEnd w:id="0"/>
    </w:p>
    <w:p w14:paraId="41F4242E">
      <w:pPr>
        <w:pStyle w:val="4"/>
      </w:pPr>
      <w:r>
        <w:t>策略输出模板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717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 w14:paraId="2218BC8B">
            <w:pPr>
              <w:spacing w:after="0" w:line="240" w:lineRule="auto"/>
            </w:pPr>
            <w:r>
              <w:t>参数</w:t>
            </w:r>
          </w:p>
        </w:tc>
        <w:tc>
          <w:tcPr>
            <w:tcW w:w="2880" w:type="dxa"/>
          </w:tcPr>
          <w:p w14:paraId="50439164">
            <w:pPr>
              <w:spacing w:after="0" w:line="240" w:lineRule="auto"/>
            </w:pPr>
            <w:r>
              <w:t>策略建议</w:t>
            </w:r>
          </w:p>
        </w:tc>
        <w:tc>
          <w:tcPr>
            <w:tcW w:w="2880" w:type="dxa"/>
          </w:tcPr>
          <w:p w14:paraId="7A767DF7">
            <w:pPr>
              <w:spacing w:after="0" w:line="240" w:lineRule="auto"/>
            </w:pPr>
            <w:r>
              <w:t>逻辑说明</w:t>
            </w:r>
          </w:p>
        </w:tc>
      </w:tr>
      <w:tr w14:paraId="1D5C1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BFC256">
            <w:pPr>
              <w:spacing w:after="0" w:line="240" w:lineRule="auto"/>
            </w:pPr>
            <w:r>
              <w:t>开仓点位</w:t>
            </w:r>
          </w:p>
        </w:tc>
        <w:tc>
          <w:tcPr>
            <w:tcW w:w="2880" w:type="dxa"/>
          </w:tcPr>
          <w:p w14:paraId="06607820">
            <w:pPr>
              <w:spacing w:after="0" w:line="240" w:lineRule="auto"/>
            </w:pPr>
          </w:p>
        </w:tc>
        <w:tc>
          <w:tcPr>
            <w:tcW w:w="2880" w:type="dxa"/>
          </w:tcPr>
          <w:p w14:paraId="6DAF6C2F">
            <w:pPr>
              <w:spacing w:after="0" w:line="240" w:lineRule="auto"/>
            </w:pPr>
          </w:p>
        </w:tc>
      </w:tr>
      <w:tr w14:paraId="021E9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8EC25D">
            <w:pPr>
              <w:spacing w:after="0" w:line="240" w:lineRule="auto"/>
            </w:pPr>
            <w:r>
              <w:t>杠杆倍数</w:t>
            </w:r>
          </w:p>
        </w:tc>
        <w:tc>
          <w:tcPr>
            <w:tcW w:w="2880" w:type="dxa"/>
          </w:tcPr>
          <w:p w14:paraId="34AB8691">
            <w:pPr>
              <w:spacing w:after="0" w:line="240" w:lineRule="auto"/>
            </w:pPr>
          </w:p>
        </w:tc>
        <w:tc>
          <w:tcPr>
            <w:tcW w:w="2880" w:type="dxa"/>
          </w:tcPr>
          <w:p w14:paraId="004F567A">
            <w:pPr>
              <w:spacing w:after="0" w:line="240" w:lineRule="auto"/>
            </w:pPr>
          </w:p>
        </w:tc>
      </w:tr>
      <w:tr w14:paraId="7A965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85D48E">
            <w:pPr>
              <w:spacing w:after="0" w:line="240" w:lineRule="auto"/>
            </w:pPr>
            <w:r>
              <w:t>止盈点</w:t>
            </w:r>
          </w:p>
        </w:tc>
        <w:tc>
          <w:tcPr>
            <w:tcW w:w="2880" w:type="dxa"/>
          </w:tcPr>
          <w:p w14:paraId="5498EAF3">
            <w:pPr>
              <w:spacing w:after="0" w:line="240" w:lineRule="auto"/>
            </w:pPr>
          </w:p>
        </w:tc>
        <w:tc>
          <w:tcPr>
            <w:tcW w:w="2880" w:type="dxa"/>
          </w:tcPr>
          <w:p w14:paraId="0BF9913A">
            <w:pPr>
              <w:spacing w:after="0" w:line="240" w:lineRule="auto"/>
            </w:pPr>
          </w:p>
        </w:tc>
      </w:tr>
      <w:tr w14:paraId="1FDEB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1CFC68">
            <w:pPr>
              <w:spacing w:after="0" w:line="240" w:lineRule="auto"/>
            </w:pPr>
            <w:r>
              <w:t>止损点</w:t>
            </w:r>
          </w:p>
        </w:tc>
        <w:tc>
          <w:tcPr>
            <w:tcW w:w="2880" w:type="dxa"/>
          </w:tcPr>
          <w:p w14:paraId="174F5F60">
            <w:pPr>
              <w:spacing w:after="0" w:line="240" w:lineRule="auto"/>
            </w:pPr>
          </w:p>
        </w:tc>
        <w:tc>
          <w:tcPr>
            <w:tcW w:w="2880" w:type="dxa"/>
          </w:tcPr>
          <w:p w14:paraId="7100961F">
            <w:pPr>
              <w:spacing w:after="0" w:line="240" w:lineRule="auto"/>
            </w:pPr>
          </w:p>
        </w:tc>
      </w:tr>
      <w:tr w14:paraId="5814F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76B32CD">
            <w:pPr>
              <w:spacing w:after="0" w:line="240" w:lineRule="auto"/>
            </w:pPr>
            <w:r>
              <w:t>保证金使用建议</w:t>
            </w:r>
          </w:p>
        </w:tc>
        <w:tc>
          <w:tcPr>
            <w:tcW w:w="2880" w:type="dxa"/>
          </w:tcPr>
          <w:p w14:paraId="2B26FF60">
            <w:pPr>
              <w:spacing w:after="0" w:line="240" w:lineRule="auto"/>
            </w:pPr>
          </w:p>
        </w:tc>
        <w:tc>
          <w:tcPr>
            <w:tcW w:w="2880" w:type="dxa"/>
          </w:tcPr>
          <w:p w14:paraId="65DA7186">
            <w:pPr>
              <w:spacing w:after="0" w:line="240" w:lineRule="auto"/>
            </w:pPr>
          </w:p>
        </w:tc>
      </w:tr>
      <w:tr w14:paraId="018E0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06C49D">
            <w:pPr>
              <w:spacing w:after="0" w:line="240" w:lineRule="auto"/>
            </w:pPr>
            <w:r>
              <w:t>持仓调整建议</w:t>
            </w:r>
          </w:p>
        </w:tc>
        <w:tc>
          <w:tcPr>
            <w:tcW w:w="2880" w:type="dxa"/>
          </w:tcPr>
          <w:p w14:paraId="131B631B">
            <w:pPr>
              <w:spacing w:after="0" w:line="240" w:lineRule="auto"/>
            </w:pPr>
          </w:p>
        </w:tc>
        <w:tc>
          <w:tcPr>
            <w:tcW w:w="2880" w:type="dxa"/>
          </w:tcPr>
          <w:p w14:paraId="7B8A20DE">
            <w:pPr>
              <w:spacing w:after="0" w:line="240" w:lineRule="auto"/>
            </w:pPr>
          </w:p>
        </w:tc>
      </w:tr>
      <w:tr w14:paraId="68694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C9299D">
            <w:pPr>
              <w:spacing w:after="0" w:line="240" w:lineRule="auto"/>
            </w:pPr>
            <w:r>
              <w:t>下一次监控周期</w:t>
            </w:r>
          </w:p>
        </w:tc>
        <w:tc>
          <w:tcPr>
            <w:tcW w:w="2880" w:type="dxa"/>
          </w:tcPr>
          <w:p w14:paraId="1AEB8C28">
            <w:pPr>
              <w:spacing w:after="0" w:line="240" w:lineRule="auto"/>
            </w:pPr>
          </w:p>
        </w:tc>
        <w:tc>
          <w:tcPr>
            <w:tcW w:w="2880" w:type="dxa"/>
          </w:tcPr>
          <w:p w14:paraId="7D766F29">
            <w:pPr>
              <w:spacing w:after="0" w:line="240" w:lineRule="auto"/>
            </w:pPr>
          </w:p>
        </w:tc>
      </w:tr>
    </w:tbl>
    <w:p w14:paraId="79D46822">
      <w:r>
        <w:br w:type="textWrapping"/>
      </w:r>
      <w:r>
        <w:t>请问你是否理解了我的</w:t>
      </w:r>
      <w:r>
        <w:rPr>
          <w:rFonts w:hint="eastAsia" w:eastAsia="宋体"/>
          <w:lang w:val="en-US" w:eastAsia="zh-CN"/>
        </w:rPr>
        <w:t>以上</w:t>
      </w:r>
      <w:r>
        <w:t>需求？如果理解，请等待我粘贴 data.json 内容，</w:t>
      </w:r>
      <w:r>
        <w:rPr>
          <w:rFonts w:hint="eastAsia" w:eastAsia="宋体"/>
          <w:lang w:val="en-US" w:eastAsia="zh-CN"/>
        </w:rPr>
        <w:t>仔细</w:t>
      </w:r>
      <w:r>
        <w:t>阅读后再进行策略分析与建议。"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649"/>
    <w:rsid w:val="008C6C96"/>
    <w:rsid w:val="00AA1D8D"/>
    <w:rsid w:val="00B47730"/>
    <w:rsid w:val="00CB0664"/>
    <w:rsid w:val="00FC693F"/>
    <w:rsid w:val="063B1994"/>
    <w:rsid w:val="08B22DE8"/>
    <w:rsid w:val="09895AED"/>
    <w:rsid w:val="0BEE059A"/>
    <w:rsid w:val="10E326D9"/>
    <w:rsid w:val="1360648C"/>
    <w:rsid w:val="18E90CD1"/>
    <w:rsid w:val="22812CA2"/>
    <w:rsid w:val="2C227D27"/>
    <w:rsid w:val="2D4C4ADE"/>
    <w:rsid w:val="2DDA613D"/>
    <w:rsid w:val="353D61D5"/>
    <w:rsid w:val="36873441"/>
    <w:rsid w:val="39C142C3"/>
    <w:rsid w:val="433504EC"/>
    <w:rsid w:val="4B28433B"/>
    <w:rsid w:val="562307CB"/>
    <w:rsid w:val="57356C2F"/>
    <w:rsid w:val="57A06424"/>
    <w:rsid w:val="59746E8F"/>
    <w:rsid w:val="5B7C4516"/>
    <w:rsid w:val="70A95EF1"/>
    <w:rsid w:val="723C5C9D"/>
    <w:rsid w:val="7EF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1529</Words>
  <Characters>1654</Characters>
  <Lines>0</Lines>
  <Paragraphs>0</Paragraphs>
  <TotalTime>149</TotalTime>
  <ScaleCrop>false</ScaleCrop>
  <LinksUpToDate>false</LinksUpToDate>
  <CharactersWithSpaces>1737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WPS_1654825672</cp:lastModifiedBy>
  <dcterms:modified xsi:type="dcterms:W3CDTF">2025-01-03T16:29:12Z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8A4AAF5214C348DAA6B0C0A73D092E26_13</vt:lpwstr>
  </property>
  <property fmtid="{D5CDD505-2E9C-101B-9397-08002B2CF9AE}" pid="4" name="KSOTemplateDocerSaveRecord">
    <vt:lpwstr>eyJoZGlkIjoiYTM4MjA5OTAxN2ZlZTBmMDk1M2ViOWY2NGVjMTExM2YiLCJ1c2VySWQiOiIxMzgxODg3MTMwIn0=</vt:lpwstr>
  </property>
</Properties>
</file>