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A1A1A"/>
          <w:sz w:val="56"/>
          <w:szCs w:val="56"/>
        </w:rPr>
        <w:t xml:space="preserve">THE BLACKOUT PLATE</w:t>
      </w:r>
    </w:p>
    <w:p>
      <w:pPr>
        <w:spacing w:after="200"/>
        <w:jc w:val="center"/>
      </w:pPr>
      <w:r>
        <w:rPr>
          <w:rFonts w:ascii="Arial" w:cs="Arial" w:eastAsia="Arial" w:hAnsi="Arial"/>
          <w:i/>
          <w:iCs/>
          <w:color w:val="555555"/>
          <w:sz w:val="36"/>
          <w:szCs w:val="36"/>
        </w:rPr>
        <w:t xml:space="preserve">4AZ Kids</w:t>
      </w:r>
      <w:r>
        <w:rPr>
          <w:rFonts w:ascii="Arial" w:cs="Arial" w:eastAsia="Arial" w:hAnsi="Arial"/>
          <w:color w:val="555555"/>
          <w:sz w:val="36"/>
          <w:szCs w:val="36"/>
        </w:rPr>
        <w:t xml:space="preserve"> — Arizona’s First All-Black Specialty Plate</w:t>
      </w:r>
    </w:p>
    <w:p>
      <w:pPr>
        <w:spacing w:after="600"/>
        <w:jc w:val="center"/>
      </w:pPr>
      <w:r>
        <w:rPr>
          <w:rFonts w:ascii="Arial" w:cs="Arial" w:eastAsia="Arial" w:hAnsi="Arial"/>
          <w:color w:val="777777"/>
          <w:sz w:val="28"/>
          <w:szCs w:val="28"/>
        </w:rPr>
        <w:t xml:space="preserve">Project Scope &amp; Strategic Framework</w:t>
      </w:r>
    </w:p>
    <w:p>
      <w:pPr>
        <w:jc w:val="center"/>
      </w:pPr>
      <w:r>
        <w:rPr>
          <w:rFonts w:ascii="Arial" w:cs="Arial" w:eastAsia="Arial" w:hAnsi="Arial"/>
          <w:i/>
          <w:iCs/>
          <w:color w:val="888888"/>
          <w:sz w:val="24"/>
          <w:szCs w:val="24"/>
        </w:rPr>
        <w:t xml:space="preserve">Supporting Arizona’s Children’s Charities</w:t>
      </w:r>
    </w:p>
    <w:p>
      <w:pPr>
        <w:spacing w:before="1200"/>
      </w:pPr>
    </w:p>
    <w:p>
      <w:pPr>
        <w:jc w:val="center"/>
      </w:pPr>
      <w:r>
        <w:rPr>
          <w:rFonts w:ascii="Arial" w:cs="Arial" w:eastAsia="Arial" w:hAnsi="Arial"/>
          <w:color w:val="555555"/>
          <w:sz w:val="22"/>
          <w:szCs w:val="22"/>
        </w:rPr>
        <w:t xml:space="preserve">Prepared by: Sean Caldwell</w:t>
      </w:r>
    </w:p>
    <w:p>
      <w:pPr>
        <w:jc w:val="center"/>
      </w:pPr>
      <w:r>
        <w:rPr>
          <w:rFonts w:ascii="Arial" w:cs="Arial" w:eastAsia="Arial" w:hAnsi="Arial"/>
          <w:color w:val="555555"/>
          <w:sz w:val="22"/>
          <w:szCs w:val="22"/>
        </w:rPr>
        <w:t xml:space="preserve">VP of Marketing, Saguaros Board of Directors</w:t>
      </w:r>
    </w:p>
    <w:p>
      <w:pPr>
        <w:spacing w:before="400"/>
      </w:pPr>
    </w:p>
    <w:p>
      <w:pPr>
        <w:jc w:val="center"/>
      </w:pPr>
      <w:r>
        <w:rPr>
          <w:rFonts w:ascii="Arial" w:cs="Arial" w:eastAsia="Arial" w:hAnsi="Arial"/>
          <w:color w:val="555555"/>
          <w:sz w:val="22"/>
          <w:szCs w:val="22"/>
        </w:rPr>
        <w:t xml:space="preserve">Date: March 11, 2026</w:t>
      </w:r>
    </w:p>
    <w:p>
      <w:pPr>
        <w:spacing w:before="200"/>
        <w:jc w:val="center"/>
      </w:pPr>
      <w:r>
        <w:rPr>
          <w:rFonts w:ascii="Arial" w:cs="Arial" w:eastAsia="Arial" w:hAnsi="Arial"/>
          <w:b/>
          <w:bCs/>
          <w:color w:val="1A1A1A"/>
          <w:sz w:val="24"/>
          <w:szCs w:val="24"/>
        </w:rPr>
        <w:t xml:space="preserve">Official Launch: March 26, 2026</w:t>
      </w:r>
    </w:p>
    <w:p>
      <w:pPr>
        <w:spacing w:before="600"/>
      </w:pPr>
    </w:p>
    <w:p>
      <w:pPr>
        <w:jc w:val="center"/>
      </w:pPr>
      <w:r>
        <w:rPr>
          <w:rFonts w:ascii="Arial" w:cs="Arial" w:eastAsia="Arial" w:hAnsi="Arial"/>
          <w:i/>
          <w:iCs/>
          <w:color w:val="999999"/>
          <w:sz w:val="20"/>
          <w:szCs w:val="20"/>
        </w:rPr>
        <w:t xml:space="preserve">CONFIDENTIAL — INTERNAL USE ONLY</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rPr>
          <w:rFonts w:ascii="Arial" w:cs="Arial" w:eastAsia="Arial" w:hAnsi="Arial"/>
          <w:sz w:val="24"/>
          <w:szCs w:val="24"/>
        </w:rPr>
        <w:t xml:space="preserve">The Saguaros is a philanthropic organization that fundraises for over 30 Arizona children’s charities. Through its two flagship annual events—</w:t>
      </w:r>
      <w:r>
        <w:rPr>
          <w:rFonts w:ascii="Arial" w:cs="Arial" w:eastAsia="Arial" w:hAnsi="Arial"/>
          <w:b/>
          <w:bCs/>
          <w:sz w:val="24"/>
          <w:szCs w:val="24"/>
        </w:rPr>
        <w:t xml:space="preserve">NiteFlite</w:t>
      </w:r>
      <w:r>
        <w:rPr>
          <w:rFonts w:ascii="Arial" w:cs="Arial" w:eastAsia="Arial" w:hAnsi="Arial"/>
          <w:sz w:val="24"/>
          <w:szCs w:val="24"/>
        </w:rPr>
        <w:t xml:space="preserve"> (fall) and </w:t>
      </w:r>
      <w:r>
        <w:rPr>
          <w:rFonts w:ascii="Arial" w:cs="Arial" w:eastAsia="Arial" w:hAnsi="Arial"/>
          <w:b/>
          <w:bCs/>
          <w:sz w:val="24"/>
          <w:szCs w:val="24"/>
        </w:rPr>
        <w:t xml:space="preserve">The Olympiad</w:t>
      </w:r>
      <w:r>
        <w:rPr>
          <w:rFonts w:ascii="Arial" w:cs="Arial" w:eastAsia="Arial" w:hAnsi="Arial"/>
          <w:sz w:val="24"/>
          <w:szCs w:val="24"/>
        </w:rPr>
        <w:t xml:space="preserve"> (spring)—and an annual grant program, the Saguaros have distributed approximately $750,000 in recent grant cycles to nonprofit partners serving Arizona’s kids.</w:t>
      </w:r>
    </w:p>
    <w:p>
      <w:pPr>
        <w:spacing w:after="200"/>
      </w:pPr>
      <w:r>
        <w:rPr>
          <w:rFonts w:ascii="Arial" w:cs="Arial" w:eastAsia="Arial" w:hAnsi="Arial"/>
          <w:sz w:val="24"/>
          <w:szCs w:val="24"/>
        </w:rPr>
        <w:t xml:space="preserve">Each year, the Saguaros opens grant applications to its charity partners. Nonprofits submit requests for funding, and the Saguaros Foundation reviews all applications to determine grant allocations. All proceeds flow through a 501(c)(3) foundation, with 30% building an endowment and 70% going directly to charity partners. The organization is also a Qualified Charitable Organization under Arizona law, making donations eligible for state tax credits.</w:t>
      </w:r>
    </w:p>
    <w:p>
      <w:pPr>
        <w:spacing w:after="200"/>
      </w:pPr>
      <w:r>
        <w:rPr>
          <w:rFonts w:ascii="Arial" w:cs="Arial" w:eastAsia="Arial" w:hAnsi="Arial"/>
          <w:sz w:val="24"/>
          <w:szCs w:val="24"/>
        </w:rPr>
        <w:t xml:space="preserve">After three years of development—led by </w:t>
      </w:r>
      <w:r>
        <w:rPr>
          <w:rFonts w:ascii="Arial" w:cs="Arial" w:eastAsia="Arial" w:hAnsi="Arial"/>
          <w:b/>
          <w:bCs/>
          <w:sz w:val="24"/>
          <w:szCs w:val="24"/>
        </w:rPr>
        <w:t xml:space="preserve">Clayton Wolfe</w:t>
      </w:r>
      <w:r>
        <w:rPr>
          <w:rFonts w:ascii="Arial" w:cs="Arial" w:eastAsia="Arial" w:hAnsi="Arial"/>
          <w:sz w:val="24"/>
          <w:szCs w:val="24"/>
        </w:rPr>
        <w:t xml:space="preserve">, who originated the concept and championed it through the full legislative and regulatory process—the Saguaros have secured approval for a first-of-its-kind specialty license plate: the </w:t>
      </w:r>
      <w:r>
        <w:rPr>
          <w:rFonts w:ascii="Arial" w:cs="Arial" w:eastAsia="Arial" w:hAnsi="Arial"/>
          <w:b/>
          <w:bCs/>
          <w:sz w:val="24"/>
          <w:szCs w:val="24"/>
        </w:rPr>
        <w:t xml:space="preserve">Arizona Blackout Plate</w:t>
      </w:r>
      <w:r>
        <w:rPr>
          <w:rFonts w:ascii="Arial" w:cs="Arial" w:eastAsia="Arial" w:hAnsi="Arial"/>
          <w:sz w:val="24"/>
          <w:szCs w:val="24"/>
        </w:rPr>
        <w:t xml:space="preserve">, officially designated as </w:t>
      </w:r>
      <w:r>
        <w:rPr>
          <w:rFonts w:ascii="Arial" w:cs="Arial" w:eastAsia="Arial" w:hAnsi="Arial"/>
          <w:b/>
          <w:bCs/>
          <w:i/>
          <w:iCs/>
          <w:sz w:val="24"/>
          <w:szCs w:val="24"/>
        </w:rPr>
        <w:t xml:space="preserve">“4AZ Kids”</w:t>
      </w:r>
      <w:r>
        <w:rPr>
          <w:rFonts w:ascii="Arial" w:cs="Arial" w:eastAsia="Arial" w:hAnsi="Arial"/>
          <w:sz w:val="24"/>
          <w:szCs w:val="24"/>
        </w:rPr>
        <w:t xml:space="preserve"> on ADOT’s registry. This is the first completely black, unbranded specialty plate in Arizona history—featuring only a clean white “ARIZONA” header. It officially launches </w:t>
      </w:r>
      <w:r>
        <w:rPr>
          <w:rFonts w:ascii="Arial" w:cs="Arial" w:eastAsia="Arial" w:hAnsi="Arial"/>
          <w:b/>
          <w:bCs/>
          <w:sz w:val="24"/>
          <w:szCs w:val="24"/>
        </w:rPr>
        <w:t xml:space="preserve">March 26, 2026</w:t>
      </w:r>
      <w:r>
        <w:rPr>
          <w:rFonts w:ascii="Arial" w:cs="Arial" w:eastAsia="Arial" w:hAnsi="Arial"/>
          <w:sz w:val="24"/>
          <w:szCs w:val="24"/>
        </w:rPr>
        <w:t xml:space="preserve">.</w:t>
      </w:r>
    </w:p>
    <w:p>
      <w:pPr>
        <w:pStyle w:val="Heading2"/>
      </w:pPr>
      <w:r>
        <w:t xml:space="preserve">The Path to Approval: Three Years, Three Branches</w:t>
      </w:r>
    </w:p>
    <w:p>
      <w:pPr>
        <w:spacing w:after="200"/>
      </w:pPr>
      <w:r>
        <w:rPr>
          <w:rFonts w:ascii="Arial" w:cs="Arial" w:eastAsia="Arial" w:hAnsi="Arial"/>
          <w:sz w:val="24"/>
          <w:szCs w:val="24"/>
        </w:rPr>
        <w:t xml:space="preserve">Getting the Blackout Plate from concept to reality required a three-year journey through both the Arizona Legislature and ADOT’s regulatory approval process. This was not a standard specialty plate application—it required passing a bill into Arizona state law.</w:t>
      </w:r>
    </w:p>
    <w:p>
      <w:pPr>
        <w:spacing w:after="200"/>
      </w:pPr>
      <w:r>
        <w:rPr>
          <w:rFonts w:ascii="Arial" w:cs="Arial" w:eastAsia="Arial" w:hAnsi="Arial"/>
          <w:sz w:val="24"/>
          <w:szCs w:val="24"/>
        </w:rPr>
        <w:t xml:space="preserve">The legislative path included passage through the </w:t>
      </w:r>
      <w:r>
        <w:rPr>
          <w:rFonts w:ascii="Arial" w:cs="Arial" w:eastAsia="Arial" w:hAnsi="Arial"/>
          <w:b/>
          <w:bCs/>
          <w:sz w:val="24"/>
          <w:szCs w:val="24"/>
        </w:rPr>
        <w:t xml:space="preserve">Arizona Senate</w:t>
      </w:r>
      <w:r>
        <w:rPr>
          <w:rFonts w:ascii="Arial" w:cs="Arial" w:eastAsia="Arial" w:hAnsi="Arial"/>
          <w:sz w:val="24"/>
          <w:szCs w:val="24"/>
        </w:rPr>
        <w:t xml:space="preserve">, the </w:t>
      </w:r>
      <w:r>
        <w:rPr>
          <w:rFonts w:ascii="Arial" w:cs="Arial" w:eastAsia="Arial" w:hAnsi="Arial"/>
          <w:b/>
          <w:bCs/>
          <w:sz w:val="24"/>
          <w:szCs w:val="24"/>
        </w:rPr>
        <w:t xml:space="preserve">Arizona House of Representatives</w:t>
      </w:r>
      <w:r>
        <w:rPr>
          <w:rFonts w:ascii="Arial" w:cs="Arial" w:eastAsia="Arial" w:hAnsi="Arial"/>
          <w:sz w:val="24"/>
          <w:szCs w:val="24"/>
        </w:rPr>
        <w:t xml:space="preserve">, and final signature from the </w:t>
      </w:r>
      <w:r>
        <w:rPr>
          <w:rFonts w:ascii="Arial" w:cs="Arial" w:eastAsia="Arial" w:hAnsi="Arial"/>
          <w:b/>
          <w:bCs/>
          <w:sz w:val="24"/>
          <w:szCs w:val="24"/>
        </w:rPr>
        <w:t xml:space="preserve">Governor’s Office</w:t>
      </w:r>
      <w:r>
        <w:rPr>
          <w:rFonts w:ascii="Arial" w:cs="Arial" w:eastAsia="Arial" w:hAnsi="Arial"/>
          <w:sz w:val="24"/>
          <w:szCs w:val="24"/>
        </w:rPr>
        <w:t xml:space="preserve">—followed by ADOT’s own review and approval process for the plate design and program structure. The total investment to bring this plate to market was approximately </w:t>
      </w:r>
      <w:r>
        <w:rPr>
          <w:rFonts w:ascii="Arial" w:cs="Arial" w:eastAsia="Arial" w:hAnsi="Arial"/>
          <w:b/>
          <w:bCs/>
          <w:sz w:val="24"/>
          <w:szCs w:val="24"/>
        </w:rPr>
        <w:t xml:space="preserve">$67,000</w:t>
      </w:r>
      <w:r>
        <w:rPr>
          <w:rFonts w:ascii="Arial" w:cs="Arial" w:eastAsia="Arial" w:hAnsi="Arial"/>
          <w:sz w:val="24"/>
          <w:szCs w:val="24"/>
        </w:rPr>
        <w:t xml:space="preserve">, covering lobbying costs and ADOT fees.</w:t>
      </w:r>
    </w:p>
    <w:p>
      <w:pPr>
        <w:spacing w:after="200"/>
      </w:pPr>
      <w:r>
        <w:rPr>
          <w:rFonts w:ascii="Arial" w:cs="Arial" w:eastAsia="Arial" w:hAnsi="Arial"/>
          <w:sz w:val="24"/>
          <w:szCs w:val="24"/>
        </w:rPr>
        <w:t xml:space="preserve">This multi-year commitment through all three branches of state government underscores the significance of the plate—and the level of effort required to create a new revenue channel for Arizona’s children’s charities.</w:t>
      </w:r>
    </w:p>
    <w:p>
      <w:pPr>
        <w:spacing w:after="200"/>
      </w:pPr>
      <w:r>
        <w:rPr>
          <w:rFonts w:ascii="Arial" w:cs="Arial" w:eastAsia="Arial" w:hAnsi="Arial"/>
          <w:sz w:val="24"/>
          <w:szCs w:val="24"/>
        </w:rPr>
        <w:t xml:space="preserve">Every plate sold generates </w:t>
      </w:r>
      <w:r>
        <w:rPr>
          <w:rFonts w:ascii="Arial" w:cs="Arial" w:eastAsia="Arial" w:hAnsi="Arial"/>
          <w:b/>
          <w:bCs/>
          <w:sz w:val="24"/>
          <w:szCs w:val="24"/>
        </w:rPr>
        <w:t xml:space="preserve">$17 in recurring annual revenue</w:t>
      </w:r>
      <w:r>
        <w:rPr>
          <w:rFonts w:ascii="Arial" w:cs="Arial" w:eastAsia="Arial" w:hAnsi="Arial"/>
          <w:sz w:val="24"/>
          <w:szCs w:val="24"/>
        </w:rPr>
        <w:t xml:space="preserve"> to the Saguaros. When a plate holder renews their registration each year, the $17 contribution renews with it—creating a compounding fundraising channel that grows with every new plate and sustains with every renewal.</w:t>
      </w:r>
    </w:p>
    <w:p>
      <w:pPr>
        <w:pStyle w:val="Heading1"/>
      </w:pPr>
      <w:r>
        <w:t xml:space="preserve">Strategic Positioning</w:t>
      </w:r>
    </w:p>
    <w:p>
      <w:pPr>
        <w:spacing w:after="200"/>
      </w:pPr>
      <w:r>
        <w:rPr>
          <w:rFonts w:ascii="Arial" w:cs="Arial" w:eastAsia="Arial" w:hAnsi="Arial"/>
          <w:sz w:val="24"/>
          <w:szCs w:val="24"/>
        </w:rPr>
        <w:t xml:space="preserve">A critical element of this initiative’s marketing strategy is </w:t>
      </w:r>
      <w:r>
        <w:rPr>
          <w:rFonts w:ascii="Arial" w:cs="Arial" w:eastAsia="Arial" w:hAnsi="Arial"/>
          <w:b/>
          <w:bCs/>
          <w:sz w:val="24"/>
          <w:szCs w:val="24"/>
        </w:rPr>
        <w:t xml:space="preserve">universal appeal</w:t>
      </w:r>
      <w:r>
        <w:rPr>
          <w:rFonts w:ascii="Arial" w:cs="Arial" w:eastAsia="Arial" w:hAnsi="Arial"/>
          <w:sz w:val="24"/>
          <w:szCs w:val="24"/>
        </w:rPr>
        <w:t xml:space="preserve">. The Blackout Plate is intentionally unbranded—no logos, no organization name, no cause-specific imagery. This is by design.</w:t>
      </w:r>
    </w:p>
    <w:p>
      <w:pPr>
        <w:spacing w:after="200"/>
      </w:pPr>
      <w:r>
        <w:rPr>
          <w:rFonts w:ascii="Arial" w:cs="Arial" w:eastAsia="Arial" w:hAnsi="Arial"/>
          <w:sz w:val="24"/>
          <w:szCs w:val="24"/>
        </w:rPr>
        <w:t xml:space="preserve">The marketing identity should lead with </w:t>
      </w:r>
      <w:r>
        <w:rPr>
          <w:rFonts w:ascii="Arial" w:cs="Arial" w:eastAsia="Arial" w:hAnsi="Arial"/>
          <w:b/>
          <w:bCs/>
          <w:sz w:val="24"/>
          <w:szCs w:val="24"/>
        </w:rPr>
        <w:t xml:space="preserve">“Saguaros”</w:t>
      </w:r>
      <w:r>
        <w:rPr>
          <w:rFonts w:ascii="Arial" w:cs="Arial" w:eastAsia="Arial" w:hAnsi="Arial"/>
          <w:sz w:val="24"/>
          <w:szCs w:val="24"/>
        </w:rPr>
        <w:t xml:space="preserve"> broadly—not “Scottsdale Saguaros.” The saguaro cactus is an Arizona icon, recognized statewide. A driver in Tucson, Flagstaff, or Yuma should feel just as connected to this plate as someone in Scottsdale. The plate itself will naturally drive awareness back to the Saguaros organization, but the marketing should never create friction by making this feel local or exclusive.</w:t>
      </w:r>
    </w:p>
    <w:p>
      <w:pPr>
        <w:spacing w:after="100"/>
      </w:pPr>
      <w:r>
        <w:rPr>
          <w:rFonts w:ascii="Arial" w:cs="Arial" w:eastAsia="Arial" w:hAnsi="Arial"/>
          <w:sz w:val="24"/>
          <w:szCs w:val="24"/>
        </w:rPr>
        <w:t xml:space="preserve">The messaging hierarchy:</w:t>
      </w:r>
    </w:p>
    <w:p>
      <w:pPr>
        <w:pStyle w:val="ListParagraph"/>
        <w:numPr>
          <w:ilvl w:val="0"/>
          <w:numId w:val="2"/>
        </w:numPr>
      </w:pPr>
      <w:r>
        <w:rPr>
          <w:rFonts w:ascii="Arial" w:cs="Arial" w:eastAsia="Arial" w:hAnsi="Arial"/>
          <w:b/>
          <w:bCs/>
          <w:sz w:val="24"/>
          <w:szCs w:val="24"/>
        </w:rPr>
        <w:t xml:space="preserve">Lead with the plate: </w:t>
      </w:r>
      <w:r>
        <w:rPr>
          <w:rFonts w:ascii="Arial" w:cs="Arial" w:eastAsia="Arial" w:hAnsi="Arial"/>
          <w:sz w:val="24"/>
          <w:szCs w:val="24"/>
        </w:rPr>
        <w:t xml:space="preserve">The aesthetic. The clean black design. First of its kind.</w:t>
      </w:r>
    </w:p>
    <w:p>
      <w:pPr>
        <w:pStyle w:val="ListParagraph"/>
        <w:numPr>
          <w:ilvl w:val="0"/>
          <w:numId w:val="2"/>
        </w:numPr>
      </w:pPr>
      <w:r>
        <w:rPr>
          <w:rFonts w:ascii="Arial" w:cs="Arial" w:eastAsia="Arial" w:hAnsi="Arial"/>
          <w:b/>
          <w:bCs/>
          <w:sz w:val="24"/>
          <w:szCs w:val="24"/>
        </w:rPr>
        <w:t xml:space="preserve">Lead with the cause: </w:t>
      </w:r>
      <w:r>
        <w:rPr>
          <w:rFonts w:ascii="Arial" w:cs="Arial" w:eastAsia="Arial" w:hAnsi="Arial"/>
          <w:sz w:val="24"/>
          <w:szCs w:val="24"/>
        </w:rPr>
        <w:t xml:space="preserve">Every plate supports Arizona’s children’s charities.</w:t>
      </w:r>
    </w:p>
    <w:p>
      <w:pPr>
        <w:pStyle w:val="ListParagraph"/>
        <w:numPr>
          <w:ilvl w:val="0"/>
          <w:numId w:val="2"/>
        </w:numPr>
      </w:pPr>
      <w:r>
        <w:rPr>
          <w:rFonts w:ascii="Arial" w:cs="Arial" w:eastAsia="Arial" w:hAnsi="Arial"/>
          <w:b/>
          <w:bCs/>
          <w:sz w:val="24"/>
          <w:szCs w:val="24"/>
        </w:rPr>
        <w:t xml:space="preserve">The organization follows naturally: </w:t>
      </w:r>
      <w:r>
        <w:rPr>
          <w:rFonts w:ascii="Arial" w:cs="Arial" w:eastAsia="Arial" w:hAnsi="Arial"/>
          <w:sz w:val="24"/>
          <w:szCs w:val="24"/>
        </w:rPr>
        <w:t xml:space="preserve">Brought to you by the Saguaros—not the other way around.</w:t>
      </w:r>
    </w:p>
    <w:p>
      <w:pPr>
        <w:pStyle w:val="Heading1"/>
      </w:pPr>
      <w:r>
        <w:t xml:space="preserve">The Product: Arizona Blackout Plate</w:t>
      </w:r>
    </w:p>
    <w:p>
      <w:pPr>
        <w:pStyle w:val="Heading2"/>
      </w:pPr>
      <w:r>
        <w:t xml:space="preserve">Plate Options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5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Standard Specialty Plate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$25/year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ADOT assigns a unique plate number. $17 goes to Saguaros, $8 to State Highway Fund.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Custom Vanity Plate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$50/year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Driver selects up to 7 alphanumeric characters (must be unique/available). $17 goes to Saguaros.</w:t>
            </w:r>
          </w:p>
        </w:tc>
      </w:tr>
    </w:tbl>
    <w:p>
      <w:pPr>
        <w:spacing w:after="200" w:before="100"/>
      </w:pPr>
      <w:r>
        <w:rPr>
          <w:rFonts w:ascii="Arial" w:cs="Arial" w:eastAsia="Arial" w:hAnsi="Arial"/>
          <w:b/>
          <w:bCs/>
          <w:i/>
          <w:iCs/>
          <w:color w:val="666666"/>
          <w:sz w:val="20"/>
          <w:szCs w:val="20"/>
        </w:rPr>
        <w:t xml:space="preserve">Note: </w:t>
      </w:r>
      <w:r>
        <w:rPr>
          <w:rFonts w:ascii="Arial" w:cs="Arial" w:eastAsia="Arial" w:hAnsi="Arial"/>
          <w:i/>
          <w:iCs/>
          <w:color w:val="666666"/>
          <w:sz w:val="20"/>
          <w:szCs w:val="20"/>
        </w:rPr>
        <w:t xml:space="preserve">Both options generate $17 per plate per year to the Saguaros. Revenue renews annually when the plate holder renews their vehicle registration. The seven zeros shown in promotional materials are a placeholder.</w:t>
      </w:r>
    </w:p>
    <w:p>
      <w:pPr>
        <w:pStyle w:val="Heading2"/>
      </w:pPr>
      <w:r>
        <w:t xml:space="preserve">Why It Works</w:t>
      </w:r>
    </w:p>
    <w:p>
      <w:pPr>
        <w:pStyle w:val="ListParagraph"/>
        <w:numPr>
          <w:ilvl w:val="0"/>
          <w:numId w:val="3"/>
        </w:numPr>
      </w:pPr>
      <w:r>
        <w:rPr>
          <w:rFonts w:ascii="Arial" w:cs="Arial" w:eastAsia="Arial" w:hAnsi="Arial"/>
          <w:b/>
          <w:bCs/>
          <w:sz w:val="24"/>
          <w:szCs w:val="24"/>
        </w:rPr>
        <w:t xml:space="preserve">Premium Aesthetic: </w:t>
      </w:r>
      <w:r>
        <w:rPr>
          <w:rFonts w:ascii="Arial" w:cs="Arial" w:eastAsia="Arial" w:hAnsi="Arial"/>
          <w:sz w:val="24"/>
          <w:szCs w:val="24"/>
        </w:rPr>
        <w:t xml:space="preserve">It looks like a high-end vanity plate, not a charity plate. Drivers want it for the look.</w:t>
      </w:r>
    </w:p>
    <w:p>
      <w:pPr>
        <w:pStyle w:val="ListParagraph"/>
        <w:numPr>
          <w:ilvl w:val="0"/>
          <w:numId w:val="3"/>
        </w:numPr>
      </w:pPr>
      <w:r>
        <w:rPr>
          <w:rFonts w:ascii="Arial" w:cs="Arial" w:eastAsia="Arial" w:hAnsi="Arial"/>
          <w:b/>
          <w:bCs/>
          <w:sz w:val="24"/>
          <w:szCs w:val="24"/>
        </w:rPr>
        <w:t xml:space="preserve">Unbranded = Universal: </w:t>
      </w:r>
      <w:r>
        <w:rPr>
          <w:rFonts w:ascii="Arial" w:cs="Arial" w:eastAsia="Arial" w:hAnsi="Arial"/>
          <w:sz w:val="24"/>
          <w:szCs w:val="24"/>
        </w:rPr>
        <w:t xml:space="preserve">No logos or cause imagery means it appeals to every Arizonan—car enthusiasts, minimalists, anyone who wants a clean plate.</w:t>
      </w:r>
    </w:p>
    <w:p>
      <w:pPr>
        <w:pStyle w:val="ListParagraph"/>
        <w:numPr>
          <w:ilvl w:val="0"/>
          <w:numId w:val="3"/>
        </w:numPr>
      </w:pPr>
      <w:r>
        <w:rPr>
          <w:rFonts w:ascii="Arial" w:cs="Arial" w:eastAsia="Arial" w:hAnsi="Arial"/>
          <w:b/>
          <w:bCs/>
          <w:sz w:val="24"/>
          <w:szCs w:val="24"/>
        </w:rPr>
        <w:t xml:space="preserve">Viral-Ready Design: </w:t>
      </w:r>
      <w:r>
        <w:rPr>
          <w:rFonts w:ascii="Arial" w:cs="Arial" w:eastAsia="Arial" w:hAnsi="Arial"/>
          <w:sz w:val="24"/>
          <w:szCs w:val="24"/>
        </w:rPr>
        <w:t xml:space="preserve">The initial Instagram post on @saguaros generated 5,500+ organic shares in under 24 hours—proof of statewide cultural appeal.</w:t>
      </w:r>
    </w:p>
    <w:p>
      <w:pPr>
        <w:pStyle w:val="ListParagraph"/>
        <w:numPr>
          <w:ilvl w:val="0"/>
          <w:numId w:val="3"/>
        </w:numPr>
      </w:pPr>
      <w:r>
        <w:rPr>
          <w:rFonts w:ascii="Arial" w:cs="Arial" w:eastAsia="Arial" w:hAnsi="Arial"/>
          <w:b/>
          <w:bCs/>
          <w:sz w:val="24"/>
          <w:szCs w:val="24"/>
        </w:rPr>
        <w:t xml:space="preserve">First of Its Kind: </w:t>
      </w:r>
      <w:r>
        <w:rPr>
          <w:rFonts w:ascii="Arial" w:cs="Arial" w:eastAsia="Arial" w:hAnsi="Arial"/>
          <w:sz w:val="24"/>
          <w:szCs w:val="24"/>
        </w:rPr>
        <w:t xml:space="preserve">No other ADOT plate has this design. It’s a category of one.</w:t>
      </w:r>
    </w:p>
    <w:p>
      <w:pPr>
        <w:pStyle w:val="ListParagraph"/>
        <w:numPr>
          <w:ilvl w:val="0"/>
          <w:numId w:val="3"/>
        </w:numPr>
      </w:pPr>
      <w:r>
        <w:rPr>
          <w:rFonts w:ascii="Arial" w:cs="Arial" w:eastAsia="Arial" w:hAnsi="Arial"/>
          <w:b/>
          <w:bCs/>
          <w:sz w:val="24"/>
          <w:szCs w:val="24"/>
        </w:rPr>
        <w:t xml:space="preserve">Cause as Byproduct: </w:t>
      </w:r>
      <w:r>
        <w:rPr>
          <w:rFonts w:ascii="Arial" w:cs="Arial" w:eastAsia="Arial" w:hAnsi="Arial"/>
          <w:sz w:val="24"/>
          <w:szCs w:val="24"/>
        </w:rPr>
        <w:t xml:space="preserve">Buyers get a plate they genuinely want. Supporting 30+ children’s charities is the bonus—not the pitch.</w:t>
      </w:r>
    </w:p>
    <w:p>
      <w:pPr>
        <w:pStyle w:val="ListParagraph"/>
        <w:numPr>
          <w:ilvl w:val="0"/>
          <w:numId w:val="3"/>
        </w:numPr>
      </w:pPr>
      <w:r>
        <w:rPr>
          <w:rFonts w:ascii="Arial" w:cs="Arial" w:eastAsia="Arial" w:hAnsi="Arial"/>
          <w:b/>
          <w:bCs/>
          <w:sz w:val="24"/>
          <w:szCs w:val="24"/>
        </w:rPr>
        <w:t xml:space="preserve">Recurring Revenue: </w:t>
      </w:r>
      <w:r>
        <w:rPr>
          <w:rFonts w:ascii="Arial" w:cs="Arial" w:eastAsia="Arial" w:hAnsi="Arial"/>
          <w:sz w:val="24"/>
          <w:szCs w:val="24"/>
        </w:rPr>
        <w:t xml:space="preserve">$17 per plate per year. Each new holder becomes a permanent annual contributor.</w:t>
      </w:r>
    </w:p>
    <w:p>
      <w:pPr>
        <w:pStyle w:val="Heading1"/>
      </w:pPr>
      <w:r>
        <w:t xml:space="preserve">Key Metrics &amp; Early 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ADOT Plate Designation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“4AZ Kids”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Revenue Per Plate (Annual)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$17 to the Saguaros (both standard and custom)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Standard Plate Fee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$25/year ($8 State Highway Fund + $17 charity)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Custom Vanity Plate Fee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$50/year (driver selects 7 characters)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Official Launch 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March 26, 2026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Development Timeline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3 years — concept by Clayton Wolfe, passed through AZ Legislature (Senate, House) and Governor’s Office, approved by ADOT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Total Investment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~$67,000 (lobbyist fees + ADOT process)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Breakeven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3,942 plates ($67,000 ÷ $17/plate)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Plate Design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First-of-its-kind: fully black, unbranded, white “ARIZONA” header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Early Traction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5,500+ organic shares on Instagram (@saguaros) in under 24 hours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Charities Supported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30+ Arizona children’s nonprofits via annual grant program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Recent Grant Cycle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~$750,000 distributed to charity partners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Tax Credit Eligible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Yes — AZ Qualified Charitable Organization</w:t>
            </w:r>
          </w:p>
        </w:tc>
      </w:tr>
    </w:tbl>
    <w:p>
      <w:pPr>
        <w:pStyle w:val="Heading1"/>
      </w:pPr>
      <w:r>
        <w:t xml:space="preserve">Investment &amp; Breakeven Analysis</w:t>
      </w:r>
    </w:p>
    <w:p>
      <w:pPr>
        <w:spacing w:after="200"/>
      </w:pPr>
      <w:r>
        <w:rPr>
          <w:rFonts w:ascii="Arial" w:cs="Arial" w:eastAsia="Arial" w:hAnsi="Arial"/>
          <w:sz w:val="24"/>
          <w:szCs w:val="24"/>
        </w:rPr>
        <w:t xml:space="preserve">Bringing the Blackout Plate from concept to market required a significant upfront investment. Understanding the breakeven point is critical to measuring the plate’s success as a fundraising channel.</w:t>
      </w:r>
    </w:p>
    <w:p>
      <w:pPr>
        <w:pStyle w:val="Heading2"/>
      </w:pPr>
      <w:r>
        <w:t xml:space="preserve">Total Investment: ~$67,000</w:t>
      </w:r>
    </w:p>
    <w:p>
      <w:pPr>
        <w:pStyle w:val="ListParagraph"/>
        <w:numPr>
          <w:ilvl w:val="0"/>
          <w:numId w:val="4"/>
        </w:numPr>
      </w:pPr>
      <w:r>
        <w:rPr>
          <w:rFonts w:ascii="Arial" w:cs="Arial" w:eastAsia="Arial" w:hAnsi="Arial"/>
          <w:b/>
          <w:bCs/>
          <w:sz w:val="24"/>
          <w:szCs w:val="24"/>
        </w:rPr>
        <w:t xml:space="preserve">Lobbyist fees: </w:t>
      </w:r>
      <w:r>
        <w:rPr>
          <w:rFonts w:ascii="Arial" w:cs="Arial" w:eastAsia="Arial" w:hAnsi="Arial"/>
          <w:sz w:val="24"/>
          <w:szCs w:val="24"/>
        </w:rPr>
        <w:t xml:space="preserve">Retained to navigate the Arizona Legislature—sponsoring the bill through the Senate, House of Representatives, and Governor’s Office over the course of three years.</w:t>
      </w:r>
    </w:p>
    <w:p>
      <w:pPr>
        <w:pStyle w:val="ListParagraph"/>
        <w:numPr>
          <w:ilvl w:val="0"/>
          <w:numId w:val="4"/>
        </w:numPr>
      </w:pPr>
      <w:r>
        <w:rPr>
          <w:rFonts w:ascii="Arial" w:cs="Arial" w:eastAsia="Arial" w:hAnsi="Arial"/>
          <w:b/>
          <w:bCs/>
          <w:sz w:val="24"/>
          <w:szCs w:val="24"/>
        </w:rPr>
        <w:t xml:space="preserve">ADOT fees: </w:t>
      </w:r>
      <w:r>
        <w:rPr>
          <w:rFonts w:ascii="Arial" w:cs="Arial" w:eastAsia="Arial" w:hAnsi="Arial"/>
          <w:sz w:val="24"/>
          <w:szCs w:val="24"/>
        </w:rPr>
        <w:t xml:space="preserve">Application, design review, and program setup costs required by the Arizona Department of Transportation.</w:t>
      </w:r>
    </w:p>
    <w:p>
      <w:pPr>
        <w:pStyle w:val="Heading2"/>
      </w:pPr>
      <w:r>
        <w:t xml:space="preserve">Breakeven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Total Investment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$67,000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Revenue Per Plate (Annual)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Plates to Break Even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3,942 plates</w:t>
            </w:r>
          </w:p>
        </w:tc>
      </w:tr>
    </w:tbl>
    <w:p>
      <w:pPr>
        <w:spacing w:after="200" w:before="200"/>
      </w:pPr>
      <w:r>
        <w:rPr>
          <w:rFonts w:ascii="Arial" w:cs="Arial" w:eastAsia="Arial" w:hAnsi="Arial"/>
          <w:sz w:val="24"/>
          <w:szCs w:val="24"/>
        </w:rPr>
        <w:t xml:space="preserve">At 3,942 plates, the Saguaros fully recover the $67,000 investment. </w:t>
      </w:r>
      <w:r>
        <w:rPr>
          <w:rFonts w:ascii="Arial" w:cs="Arial" w:eastAsia="Arial" w:hAnsi="Arial"/>
          <w:b/>
          <w:bCs/>
          <w:sz w:val="24"/>
          <w:szCs w:val="24"/>
        </w:rPr>
        <w:t xml:space="preserve">Every plate sold beyond that point is pure recurring revenue for Arizona’s children’s charities.</w:t>
      </w:r>
    </w:p>
    <w:p>
      <w:pPr>
        <w:spacing w:after="200"/>
      </w:pPr>
      <w:r>
        <w:rPr>
          <w:rFonts w:ascii="Arial" w:cs="Arial" w:eastAsia="Arial" w:hAnsi="Arial"/>
          <w:sz w:val="24"/>
          <w:szCs w:val="24"/>
        </w:rPr>
        <w:t xml:space="preserve">For context: once breakeven is achieved, this becomes a self-sustaining fundraising engine. A plate holder who keeps their plate for 5 years contributes $85 over that period—and the plate renews automatically with their vehicle registration each year, requiring zero additional effort from the Saguaros.</w:t>
      </w:r>
    </w:p>
    <w:p>
      <w:pPr>
        <w:pStyle w:val="Heading2"/>
      </w:pPr>
      <w:r>
        <w:t xml:space="preserve">Post-Breakeven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20"/>
        <w:gridCol w:w="1920"/>
        <w:gridCol w:w="1920"/>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Active Plates</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Revenue</w:t>
            </w:r>
          </w:p>
        </w:tc>
        <w:tc>
          <w:tcPr>
            <w:tcW w:type="dxa" w:w="19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Net After Breakeven</w:t>
            </w:r>
          </w:p>
        </w:tc>
        <w:tc>
          <w:tcPr>
            <w:tcW w:type="dxa" w:w="19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3-Yr Cumulative</w:t>
            </w:r>
          </w:p>
        </w:tc>
        <w:tc>
          <w:tcPr>
            <w:tcW w:type="dxa" w:w="19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5-Yr Cumulative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$17,000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n/a (pre-breakeven)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$51,000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$85,000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5,000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$85,000</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$18,000</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$255,000</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$425,000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$170,000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$103,000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$510,000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$850,000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25,000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$425,000</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$358,000</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$1,275,000</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$2,125,000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$850,000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$783,000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$2,550,000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$4,250,000</w:t>
            </w:r>
          </w:p>
        </w:tc>
      </w:tr>
    </w:tbl>
    <w:p>
      <w:pPr>
        <w:spacing w:after="200" w:before="100"/>
      </w:pPr>
      <w:r>
        <w:rPr>
          <w:rFonts w:ascii="Arial" w:cs="Arial" w:eastAsia="Arial" w:hAnsi="Arial"/>
          <w:b/>
          <w:bCs/>
          <w:i/>
          <w:iCs/>
          <w:color w:val="666666"/>
          <w:sz w:val="20"/>
          <w:szCs w:val="20"/>
        </w:rPr>
        <w:t xml:space="preserve">Note: </w:t>
      </w:r>
      <w:r>
        <w:rPr>
          <w:rFonts w:ascii="Arial" w:cs="Arial" w:eastAsia="Arial" w:hAnsi="Arial"/>
          <w:i/>
          <w:iCs/>
          <w:color w:val="666666"/>
          <w:sz w:val="20"/>
          <w:szCs w:val="20"/>
        </w:rPr>
        <w:t xml:space="preserve">Assumes all plates remain active. Actual revenue compounds as new plates are added each year while existing plates renew. For context, ADOT specialty plates collectively generated over $14.5 million for charities in a single fiscal year across all plate types.</w:t>
      </w:r>
    </w:p>
    <w:p>
      <w:pPr>
        <w:pStyle w:val="Heading1"/>
      </w:pPr>
      <w:r>
        <w:t xml:space="preserve">Project Scope</w:t>
      </w:r>
    </w:p>
    <w:p>
      <w:pPr>
        <w:spacing w:after="200"/>
      </w:pPr>
      <w:r>
        <w:rPr>
          <w:rFonts w:ascii="Arial" w:cs="Arial" w:eastAsia="Arial" w:hAnsi="Arial"/>
          <w:sz w:val="24"/>
          <w:szCs w:val="24"/>
        </w:rPr>
        <w:t xml:space="preserve">This scope defines the full marketing and PR framework for the Blackout Plate. The goal: maximize plate adoption across every corner of Arizona through multi-channel marketing that leans into the plate’s organic viral momentum and universal design appeal.</w:t>
      </w:r>
    </w:p>
    <w:p>
      <w:pPr>
        <w:pStyle w:val="Heading2"/>
      </w:pPr>
      <w:r>
        <w:t xml:space="preserve">Phase 1: Launch (March 2026)</w:t>
      </w:r>
    </w:p>
    <w:p>
      <w:pPr>
        <w:pStyle w:val="ListParagraph"/>
        <w:numPr>
          <w:ilvl w:val="0"/>
          <w:numId w:val="5"/>
        </w:numPr>
        <w:spacing w:after="120"/>
      </w:pPr>
      <w:r>
        <w:rPr>
          <w:rFonts w:ascii="Arial" w:cs="Arial" w:eastAsia="Arial" w:hAnsi="Arial"/>
          <w:b/>
          <w:bCs/>
          <w:sz w:val="24"/>
          <w:szCs w:val="24"/>
        </w:rPr>
        <w:t xml:space="preserve">Press Release &amp; Instagram Launch (COMPLETED) — </w:t>
      </w:r>
      <w:r>
        <w:rPr>
          <w:rFonts w:ascii="Arial" w:cs="Arial" w:eastAsia="Arial" w:hAnsi="Arial"/>
          <w:sz w:val="24"/>
          <w:szCs w:val="24"/>
        </w:rPr>
        <w:t xml:space="preserve">Initial press release posted to @saguaros. 5,500+ organic shares in under 24 hours. This is the baseline for all future campaign benchmarks.</w:t>
      </w:r>
    </w:p>
    <w:p>
      <w:pPr>
        <w:pStyle w:val="ListParagraph"/>
        <w:numPr>
          <w:ilvl w:val="0"/>
          <w:numId w:val="5"/>
        </w:numPr>
        <w:spacing w:after="120"/>
      </w:pPr>
      <w:r>
        <w:rPr>
          <w:rFonts w:ascii="Arial" w:cs="Arial" w:eastAsia="Arial" w:hAnsi="Arial"/>
          <w:b/>
          <w:bCs/>
          <w:sz w:val="24"/>
          <w:szCs w:val="24"/>
        </w:rPr>
        <w:t xml:space="preserve">Landing Page (NEXT PRIORITY) — </w:t>
      </w:r>
      <w:r>
        <w:rPr>
          <w:rFonts w:ascii="Arial" w:cs="Arial" w:eastAsia="Arial" w:hAnsi="Arial"/>
          <w:sz w:val="24"/>
          <w:szCs w:val="24"/>
        </w:rPr>
        <w:t xml:space="preserve">Dedicated landing page built with agentic AI tools. Purpose: educate visitors on the plate, showcase the design, explain the cause, and funnel them directly to AZMVDNow.gov to purchase. Domain TBD (evaluating short, billboard-friendly options). Document the entire build process as a case study.</w:t>
      </w:r>
    </w:p>
    <w:p>
      <w:pPr>
        <w:pStyle w:val="ListParagraph"/>
        <w:numPr>
          <w:ilvl w:val="0"/>
          <w:numId w:val="5"/>
        </w:numPr>
        <w:spacing w:after="120"/>
      </w:pPr>
      <w:r>
        <w:rPr>
          <w:rFonts w:ascii="Arial" w:cs="Arial" w:eastAsia="Arial" w:hAnsi="Arial"/>
          <w:b/>
          <w:bCs/>
          <w:sz w:val="24"/>
          <w:szCs w:val="24"/>
        </w:rPr>
        <w:t xml:space="preserve">Social Media Campaign — </w:t>
      </w:r>
      <w:r>
        <w:rPr>
          <w:rFonts w:ascii="Arial" w:cs="Arial" w:eastAsia="Arial" w:hAnsi="Arial"/>
          <w:sz w:val="24"/>
          <w:szCs w:val="24"/>
        </w:rPr>
        <w:t xml:space="preserve">Coordinated push across Instagram, Facebook, and X leveraging the 5,500-share momentum. Focus on the plate’s aesthetic first, cause second.</w:t>
      </w:r>
    </w:p>
    <w:p>
      <w:pPr>
        <w:pStyle w:val="ListParagraph"/>
        <w:numPr>
          <w:ilvl w:val="0"/>
          <w:numId w:val="5"/>
        </w:numPr>
        <w:spacing w:after="120"/>
      </w:pPr>
      <w:r>
        <w:rPr>
          <w:rFonts w:ascii="Arial" w:cs="Arial" w:eastAsia="Arial" w:hAnsi="Arial"/>
          <w:b/>
          <w:bCs/>
          <w:sz w:val="24"/>
          <w:szCs w:val="24"/>
        </w:rPr>
        <w:t xml:space="preserve">Billboard Advertising (Launch Day) — </w:t>
      </w:r>
      <w:r>
        <w:rPr>
          <w:rFonts w:ascii="Arial" w:cs="Arial" w:eastAsia="Arial" w:hAnsi="Arial"/>
          <w:sz w:val="24"/>
          <w:szCs w:val="24"/>
        </w:rPr>
        <w:t xml:space="preserve">Approximately four weeks of digital and static billboard advertising through Leclair Callahan, representing ~$10,000 in media spend. Billboards go live on or around launch day (March 26) to maximize initial awareness during the plate’s first month of availability. Billboard creative features the plate design and short domain/URL prominently.</w:t>
      </w:r>
    </w:p>
    <w:p>
      <w:pPr>
        <w:pStyle w:val="ListParagraph"/>
        <w:numPr>
          <w:ilvl w:val="0"/>
          <w:numId w:val="5"/>
        </w:numPr>
        <w:spacing w:after="120"/>
      </w:pPr>
      <w:r>
        <w:rPr>
          <w:rFonts w:ascii="Arial" w:cs="Arial" w:eastAsia="Arial" w:hAnsi="Arial"/>
          <w:b/>
          <w:bCs/>
          <w:sz w:val="24"/>
          <w:szCs w:val="24"/>
        </w:rPr>
        <w:t xml:space="preserve">Launch Day Activation (March 26) — </w:t>
      </w:r>
      <w:r>
        <w:rPr>
          <w:rFonts w:ascii="Arial" w:cs="Arial" w:eastAsia="Arial" w:hAnsi="Arial"/>
          <w:sz w:val="24"/>
          <w:szCs w:val="24"/>
        </w:rPr>
        <w:t xml:space="preserve">All-channel push on the official ADOT launch date. Coordinate with Saguaros membership, charity partners, and aligned networks for maximum amplification.</w:t>
      </w:r>
    </w:p>
    <w:p>
      <w:pPr>
        <w:pStyle w:val="Heading2"/>
      </w:pPr>
      <w:r>
        <w:t xml:space="preserve">Phase 2: Awareness &amp; Growth (Q2–Q3 2026)</w:t>
      </w:r>
    </w:p>
    <w:p>
      <w:pPr>
        <w:pStyle w:val="ListParagraph"/>
        <w:numPr>
          <w:ilvl w:val="0"/>
          <w:numId w:val="6"/>
        </w:numPr>
        <w:spacing w:after="120"/>
      </w:pPr>
      <w:r>
        <w:rPr>
          <w:rFonts w:ascii="Arial" w:cs="Arial" w:eastAsia="Arial" w:hAnsi="Arial"/>
          <w:b/>
          <w:bCs/>
          <w:sz w:val="24"/>
          <w:szCs w:val="24"/>
        </w:rPr>
        <w:t xml:space="preserve">Billboard Campaign Expansion — </w:t>
      </w:r>
      <w:r>
        <w:rPr>
          <w:rFonts w:ascii="Arial" w:cs="Arial" w:eastAsia="Arial" w:hAnsi="Arial"/>
          <w:sz w:val="24"/>
          <w:szCs w:val="24"/>
        </w:rPr>
        <w:t xml:space="preserve">Build on Phase 1 billboard results with strategic placements on major Arizona highways (I-10, I-17, Loop 101, Loop 202). The black plate design translates perfectly to large-format outdoor media. Evaluate Phase 1 ROI to determine expanded media spend.</w:t>
      </w:r>
    </w:p>
    <w:p>
      <w:pPr>
        <w:pStyle w:val="ListParagraph"/>
        <w:numPr>
          <w:ilvl w:val="0"/>
          <w:numId w:val="6"/>
        </w:numPr>
        <w:spacing w:after="120"/>
      </w:pPr>
      <w:r>
        <w:rPr>
          <w:rFonts w:ascii="Arial" w:cs="Arial" w:eastAsia="Arial" w:hAnsi="Arial"/>
          <w:b/>
          <w:bCs/>
          <w:sz w:val="24"/>
          <w:szCs w:val="24"/>
        </w:rPr>
        <w:t xml:space="preserve">Print Media — </w:t>
      </w:r>
      <w:r>
        <w:rPr>
          <w:rFonts w:ascii="Arial" w:cs="Arial" w:eastAsia="Arial" w:hAnsi="Arial"/>
          <w:sz w:val="24"/>
          <w:szCs w:val="24"/>
        </w:rPr>
        <w:t xml:space="preserve">Ads in Arizona-focused publications (Phoenix Magazine, AZ Big Media, Scottsdale Independent, Arizona Republic).</w:t>
      </w:r>
    </w:p>
    <w:p>
      <w:pPr>
        <w:pStyle w:val="ListParagraph"/>
        <w:numPr>
          <w:ilvl w:val="0"/>
          <w:numId w:val="6"/>
        </w:numPr>
        <w:spacing w:after="120"/>
      </w:pPr>
      <w:r>
        <w:rPr>
          <w:rFonts w:ascii="Arial" w:cs="Arial" w:eastAsia="Arial" w:hAnsi="Arial"/>
          <w:b/>
          <w:bCs/>
          <w:sz w:val="24"/>
          <w:szCs w:val="24"/>
        </w:rPr>
        <w:t xml:space="preserve">PR Outreach — </w:t>
      </w:r>
      <w:r>
        <w:rPr>
          <w:rFonts w:ascii="Arial" w:cs="Arial" w:eastAsia="Arial" w:hAnsi="Arial"/>
          <w:sz w:val="24"/>
          <w:szCs w:val="24"/>
        </w:rPr>
        <w:t xml:space="preserve">Targeted press releases to local news stations (12 News, ABC15, Fox 10, AZ Family) and automotive/lifestyle media. Pitch angle: “First all-black plate in Arizona history” + children’s charity impact.</w:t>
      </w:r>
    </w:p>
    <w:p>
      <w:pPr>
        <w:pStyle w:val="ListParagraph"/>
        <w:numPr>
          <w:ilvl w:val="0"/>
          <w:numId w:val="6"/>
        </w:numPr>
        <w:spacing w:after="120"/>
      </w:pPr>
      <w:r>
        <w:rPr>
          <w:rFonts w:ascii="Arial" w:cs="Arial" w:eastAsia="Arial" w:hAnsi="Arial"/>
          <w:b/>
          <w:bCs/>
          <w:sz w:val="24"/>
          <w:szCs w:val="24"/>
        </w:rPr>
        <w:t xml:space="preserve">Influencer &amp; Community Partnerships — </w:t>
      </w:r>
      <w:r>
        <w:rPr>
          <w:rFonts w:ascii="Arial" w:cs="Arial" w:eastAsia="Arial" w:hAnsi="Arial"/>
          <w:sz w:val="24"/>
          <w:szCs w:val="24"/>
        </w:rPr>
        <w:t xml:space="preserve">Partner with Arizona-based influencers, car culture communities, and automotive enthusiasts to showcase the plate’s premium aesthetic.</w:t>
      </w:r>
    </w:p>
    <w:p>
      <w:pPr>
        <w:pStyle w:val="ListParagraph"/>
        <w:numPr>
          <w:ilvl w:val="0"/>
          <w:numId w:val="6"/>
        </w:numPr>
        <w:spacing w:after="120"/>
      </w:pPr>
      <w:r>
        <w:rPr>
          <w:rFonts w:ascii="Arial" w:cs="Arial" w:eastAsia="Arial" w:hAnsi="Arial"/>
          <w:b/>
          <w:bCs/>
          <w:sz w:val="24"/>
          <w:szCs w:val="24"/>
        </w:rPr>
        <w:t xml:space="preserve">Short Code Text Campaign (If Approved) — </w:t>
      </w:r>
      <w:r>
        <w:rPr>
          <w:rFonts w:ascii="Arial" w:cs="Arial" w:eastAsia="Arial" w:hAnsi="Arial"/>
          <w:sz w:val="24"/>
          <w:szCs w:val="24"/>
        </w:rPr>
        <w:t xml:space="preserve">Explore SMS short code for billboard and print CTA (e.g., “Text BLACKOUT to XXXXX”). Requires approval process and additional expense—evaluate ROI before committing.</w:t>
      </w:r>
    </w:p>
    <w:p>
      <w:pPr>
        <w:pStyle w:val="ListParagraph"/>
        <w:numPr>
          <w:ilvl w:val="0"/>
          <w:numId w:val="6"/>
        </w:numPr>
        <w:spacing w:after="120"/>
      </w:pPr>
      <w:r>
        <w:rPr>
          <w:rFonts w:ascii="Arial" w:cs="Arial" w:eastAsia="Arial" w:hAnsi="Arial"/>
          <w:b/>
          <w:bCs/>
          <w:sz w:val="24"/>
          <w:szCs w:val="24"/>
        </w:rPr>
        <w:t xml:space="preserve">Network Activation — </w:t>
      </w:r>
      <w:r>
        <w:rPr>
          <w:rFonts w:ascii="Arial" w:cs="Arial" w:eastAsia="Arial" w:hAnsi="Arial"/>
          <w:sz w:val="24"/>
          <w:szCs w:val="24"/>
        </w:rPr>
        <w:t xml:space="preserve">Leverage the Saguaros’ existing professional network through NiteFlite and Olympiad events to drive awareness into business, real estate, and philanthropic communities.</w:t>
      </w:r>
    </w:p>
    <w:p>
      <w:pPr>
        <w:pStyle w:val="Heading2"/>
      </w:pPr>
      <w:r>
        <w:t xml:space="preserve">Phase 3: Scale &amp; Sustain (Q4 2026+)</w:t>
      </w:r>
    </w:p>
    <w:p>
      <w:pPr>
        <w:pStyle w:val="ListParagraph"/>
        <w:numPr>
          <w:ilvl w:val="0"/>
          <w:numId w:val="7"/>
        </w:numPr>
        <w:spacing w:after="120"/>
      </w:pPr>
      <w:r>
        <w:rPr>
          <w:rFonts w:ascii="Arial" w:cs="Arial" w:eastAsia="Arial" w:hAnsi="Arial"/>
          <w:b/>
          <w:bCs/>
          <w:sz w:val="24"/>
          <w:szCs w:val="24"/>
        </w:rPr>
        <w:t xml:space="preserve">Statewide Expansion — </w:t>
      </w:r>
      <w:r>
        <w:rPr>
          <w:rFonts w:ascii="Arial" w:cs="Arial" w:eastAsia="Arial" w:hAnsi="Arial"/>
          <w:sz w:val="24"/>
          <w:szCs w:val="24"/>
        </w:rPr>
        <w:t xml:space="preserve">Extend marketing beyond the Phoenix metro into Tucson, Flagstaff, Prescott, and other Arizona markets. The unbranded design makes this a natural statewide play.</w:t>
      </w:r>
    </w:p>
    <w:p>
      <w:pPr>
        <w:pStyle w:val="ListParagraph"/>
        <w:numPr>
          <w:ilvl w:val="0"/>
          <w:numId w:val="7"/>
        </w:numPr>
        <w:spacing w:after="120"/>
      </w:pPr>
      <w:r>
        <w:rPr>
          <w:rFonts w:ascii="Arial" w:cs="Arial" w:eastAsia="Arial" w:hAnsi="Arial"/>
          <w:b/>
          <w:bCs/>
          <w:sz w:val="24"/>
          <w:szCs w:val="24"/>
        </w:rPr>
        <w:t xml:space="preserve">Annual Campaign Calendar — </w:t>
      </w:r>
      <w:r>
        <w:rPr>
          <w:rFonts w:ascii="Arial" w:cs="Arial" w:eastAsia="Arial" w:hAnsi="Arial"/>
          <w:sz w:val="24"/>
          <w:szCs w:val="24"/>
        </w:rPr>
        <w:t xml:space="preserve">Develop recurring seasonal campaigns tied to plate renewal periods, back-to-school, holiday giving, and Saguaros events.</w:t>
      </w:r>
    </w:p>
    <w:p>
      <w:pPr>
        <w:pStyle w:val="ListParagraph"/>
        <w:numPr>
          <w:ilvl w:val="0"/>
          <w:numId w:val="7"/>
        </w:numPr>
        <w:spacing w:after="120"/>
      </w:pPr>
      <w:r>
        <w:rPr>
          <w:rFonts w:ascii="Arial" w:cs="Arial" w:eastAsia="Arial" w:hAnsi="Arial"/>
          <w:b/>
          <w:bCs/>
          <w:sz w:val="24"/>
          <w:szCs w:val="24"/>
        </w:rPr>
        <w:t xml:space="preserve">Impact Reporting — </w:t>
      </w:r>
      <w:r>
        <w:rPr>
          <w:rFonts w:ascii="Arial" w:cs="Arial" w:eastAsia="Arial" w:hAnsi="Arial"/>
          <w:sz w:val="24"/>
          <w:szCs w:val="24"/>
        </w:rPr>
        <w:t xml:space="preserve">Create shareable impact reports: total plates sold, revenue generated, charities funded. Content that fuels future marketing cycles.</w:t>
      </w:r>
    </w:p>
    <w:p>
      <w:pPr>
        <w:pStyle w:val="ListParagraph"/>
        <w:numPr>
          <w:ilvl w:val="0"/>
          <w:numId w:val="7"/>
        </w:numPr>
        <w:spacing w:after="120"/>
      </w:pPr>
      <w:r>
        <w:rPr>
          <w:rFonts w:ascii="Arial" w:cs="Arial" w:eastAsia="Arial" w:hAnsi="Arial"/>
          <w:b/>
          <w:bCs/>
          <w:sz w:val="24"/>
          <w:szCs w:val="24"/>
        </w:rPr>
        <w:t xml:space="preserve">Partnership Development — </w:t>
      </w:r>
      <w:r>
        <w:rPr>
          <w:rFonts w:ascii="Arial" w:cs="Arial" w:eastAsia="Arial" w:hAnsi="Arial"/>
          <w:sz w:val="24"/>
          <w:szCs w:val="24"/>
        </w:rPr>
        <w:t xml:space="preserve">Co-marketing opportunities with Arizona dealerships, auto detailers, and car culture communities.</w:t>
      </w:r>
    </w:p>
    <w:p>
      <w:pPr>
        <w:pStyle w:val="ListParagraph"/>
        <w:numPr>
          <w:ilvl w:val="0"/>
          <w:numId w:val="7"/>
        </w:numPr>
        <w:spacing w:after="120"/>
      </w:pPr>
      <w:r>
        <w:rPr>
          <w:rFonts w:ascii="Arial" w:cs="Arial" w:eastAsia="Arial" w:hAnsi="Arial"/>
          <w:b/>
          <w:bCs/>
          <w:sz w:val="24"/>
          <w:szCs w:val="24"/>
        </w:rPr>
        <w:t xml:space="preserve">Custom Brand Identity — </w:t>
      </w:r>
      <w:r>
        <w:rPr>
          <w:rFonts w:ascii="Arial" w:cs="Arial" w:eastAsia="Arial" w:hAnsi="Arial"/>
          <w:sz w:val="24"/>
          <w:szCs w:val="24"/>
        </w:rPr>
        <w:t xml:space="preserve">Develop a standalone brand identity for the Blackout Plate that lives alongside (but separate from) the Saguaros brand. This includes logo, color palette, typography, and design system for all plate-specific marketing materials.</w:t>
      </w:r>
    </w:p>
    <w:p>
      <w:pPr>
        <w:pStyle w:val="Heading1"/>
      </w:pPr>
      <w:r>
        <w:t xml:space="preserve">Governance: License Plate Chairman</w:t>
      </w:r>
    </w:p>
    <w:p>
      <w:pPr>
        <w:spacing w:after="200"/>
      </w:pPr>
      <w:r>
        <w:rPr>
          <w:rFonts w:ascii="Arial" w:cs="Arial" w:eastAsia="Arial" w:hAnsi="Arial"/>
          <w:sz w:val="24"/>
          <w:szCs w:val="24"/>
        </w:rPr>
        <w:t xml:space="preserve">This project scope establishes the framework for a proposed new position on the Saguaros Foundation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Position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License Plate Chairman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Type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Non-Voting, Appointed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Proposed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Sean Caldwell, VP of Marketing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Concept Originator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Clayton Wolfe (led 3-year legislative and ADOT approval process)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Responsibilities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Own all marketing and campaign strategy for the Blackout Plate. Develop and execute statewide campaigns. Track sales metrics and revenue impact. Report to the Foundation Board on plate performance. Coordinate with ADOT on plate program requirements. Manage the Blackout Plate brand identity.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Objective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Maximize plate adoption across Arizona to create a sustainable, scalable fundraising channel for the Saguaros’ 30+ charity partners.</w:t>
            </w:r>
          </w:p>
        </w:tc>
      </w:tr>
    </w:tbl>
    <w:p>
      <w:pPr>
        <w:pStyle w:val="Heading1"/>
      </w:pPr>
      <w:r>
        <w:t xml:space="preserve">Marketing Channels &amp; Asset Types</w:t>
      </w:r>
    </w:p>
    <w:p>
      <w:pPr>
        <w:spacing w:after="200"/>
      </w:pPr>
      <w:r>
        <w:rPr>
          <w:rFonts w:ascii="Arial" w:cs="Arial" w:eastAsia="Arial" w:hAnsi="Arial"/>
          <w:sz w:val="24"/>
          <w:szCs w:val="24"/>
        </w:rPr>
        <w:t xml:space="preserve">All assets will be developed, documented, and cataloged within this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4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Asset Types</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Digital / Social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Instagram, Facebook, X posts; Stories; Reels (@saguaros)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 Progress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Landing Page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Dedicated plate info + ADOT purchase funnel (domain TBD)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Next 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Press / PR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Press releases, media kits, interview prep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Phase 1 (initial done)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Outdoor / OOH</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Billboards via Leclair Callahan (~$10K Phase 1, expansion Phase 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Phase 1 (launch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Print Media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Magazine and newspaper ads, flyers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SMS / Short Code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Text campaign (requires approval + expense)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Evaluating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Direct Outreach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Email campaigns, Saguaros member kits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Partnerships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Dealership co-marketing, auto detailer promos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Phase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Events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NiteFlite (fall), The Olympiad (spring)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Ongoing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Brand Identity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Blackout Plate logo, colors, typography, design system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TBD</w:t>
            </w:r>
          </w:p>
        </w:tc>
      </w:tr>
    </w:tbl>
    <w:p>
      <w:pPr>
        <w:pStyle w:val="Heading1"/>
      </w:pPr>
      <w:r>
        <w:t xml:space="preserve">Landing Page &amp; Domain Strategy</w:t>
      </w:r>
    </w:p>
    <w:p>
      <w:pPr>
        <w:spacing w:after="100"/>
      </w:pPr>
      <w:r>
        <w:rPr>
          <w:rFonts w:ascii="Arial" w:cs="Arial" w:eastAsia="Arial" w:hAnsi="Arial"/>
          <w:sz w:val="24"/>
          <w:szCs w:val="24"/>
        </w:rPr>
        <w:t xml:space="preserve">The landing page is the next priority deliverable. Key requirements:</w:t>
      </w:r>
    </w:p>
    <w:p>
      <w:pPr>
        <w:pStyle w:val="ListParagraph"/>
        <w:numPr>
          <w:ilvl w:val="0"/>
          <w:numId w:val="8"/>
        </w:numPr>
      </w:pPr>
      <w:r>
        <w:rPr>
          <w:rFonts w:ascii="Arial" w:cs="Arial" w:eastAsia="Arial" w:hAnsi="Arial"/>
          <w:b/>
          <w:bCs/>
          <w:sz w:val="24"/>
          <w:szCs w:val="24"/>
        </w:rPr>
        <w:t xml:space="preserve">Short, billboard-friendly domain </w:t>
      </w:r>
      <w:r>
        <w:rPr>
          <w:rFonts w:ascii="Arial" w:cs="Arial" w:eastAsia="Arial" w:hAnsi="Arial"/>
          <w:sz w:val="24"/>
          <w:szCs w:val="24"/>
        </w:rPr>
        <w:t xml:space="preserve">— must be readable at highway speed. Under 15 characters preferred.</w:t>
      </w:r>
    </w:p>
    <w:p>
      <w:pPr>
        <w:pStyle w:val="ListParagraph"/>
        <w:numPr>
          <w:ilvl w:val="0"/>
          <w:numId w:val="8"/>
        </w:numPr>
      </w:pPr>
      <w:r>
        <w:rPr>
          <w:rFonts w:ascii="Arial" w:cs="Arial" w:eastAsia="Arial" w:hAnsi="Arial"/>
          <w:b/>
          <w:bCs/>
          <w:sz w:val="24"/>
          <w:szCs w:val="24"/>
        </w:rPr>
        <w:t xml:space="preserve">Direct funnel to AZMVDNow.gov </w:t>
      </w:r>
      <w:r>
        <w:rPr>
          <w:rFonts w:ascii="Arial" w:cs="Arial" w:eastAsia="Arial" w:hAnsi="Arial"/>
          <w:sz w:val="24"/>
          <w:szCs w:val="24"/>
        </w:rPr>
        <w:t xml:space="preserve">— the landing page educates; the purchase happens on Arizona’s MVD portal.</w:t>
      </w:r>
    </w:p>
    <w:p>
      <w:pPr>
        <w:pStyle w:val="ListParagraph"/>
        <w:numPr>
          <w:ilvl w:val="0"/>
          <w:numId w:val="8"/>
        </w:numPr>
      </w:pPr>
      <w:r>
        <w:rPr>
          <w:rFonts w:ascii="Arial" w:cs="Arial" w:eastAsia="Arial" w:hAnsi="Arial"/>
          <w:b/>
          <w:bCs/>
          <w:sz w:val="24"/>
          <w:szCs w:val="24"/>
        </w:rPr>
        <w:t xml:space="preserve">Mobile-first design </w:t>
      </w:r>
      <w:r>
        <w:rPr>
          <w:rFonts w:ascii="Arial" w:cs="Arial" w:eastAsia="Arial" w:hAnsi="Arial"/>
          <w:sz w:val="24"/>
          <w:szCs w:val="24"/>
        </w:rPr>
        <w:t xml:space="preserve">— social traffic from Instagram will be primarily mobile.</w:t>
      </w:r>
    </w:p>
    <w:p>
      <w:pPr>
        <w:pStyle w:val="ListParagraph"/>
        <w:numPr>
          <w:ilvl w:val="0"/>
          <w:numId w:val="8"/>
        </w:numPr>
      </w:pPr>
      <w:r>
        <w:rPr>
          <w:rFonts w:ascii="Arial" w:cs="Arial" w:eastAsia="Arial" w:hAnsi="Arial"/>
          <w:b/>
          <w:bCs/>
          <w:sz w:val="24"/>
          <w:szCs w:val="24"/>
        </w:rPr>
        <w:t xml:space="preserve">Built with agentic tools </w:t>
      </w:r>
      <w:r>
        <w:rPr>
          <w:rFonts w:ascii="Arial" w:cs="Arial" w:eastAsia="Arial" w:hAnsi="Arial"/>
          <w:sz w:val="24"/>
          <w:szCs w:val="24"/>
        </w:rPr>
        <w:t xml:space="preserve">— document the entire process as a case study.</w:t>
      </w:r>
    </w:p>
    <w:p>
      <w:pPr>
        <w:spacing w:after="100" w:before="200"/>
      </w:pPr>
      <w:r>
        <w:rPr>
          <w:rFonts w:ascii="Arial" w:cs="Arial" w:eastAsia="Arial" w:hAnsi="Arial"/>
          <w:sz w:val="24"/>
          <w:szCs w:val="24"/>
        </w:rPr>
        <w:t xml:space="preserve">Domain candidates under evaluation:</w:t>
      </w:r>
    </w:p>
    <w:p>
      <w:pPr>
        <w:pStyle w:val="ListParagraph"/>
        <w:numPr>
          <w:ilvl w:val="0"/>
          <w:numId w:val="8"/>
        </w:numPr>
      </w:pPr>
      <w:r>
        <w:rPr>
          <w:rFonts w:ascii="Arial" w:cs="Arial" w:eastAsia="Arial" w:hAnsi="Arial"/>
          <w:sz w:val="24"/>
          <w:szCs w:val="24"/>
        </w:rPr>
        <w:t xml:space="preserve">blackoutaz.com</w:t>
      </w:r>
    </w:p>
    <w:p>
      <w:pPr>
        <w:pStyle w:val="ListParagraph"/>
        <w:numPr>
          <w:ilvl w:val="0"/>
          <w:numId w:val="8"/>
        </w:numPr>
      </w:pPr>
      <w:r>
        <w:rPr>
          <w:rFonts w:ascii="Arial" w:cs="Arial" w:eastAsia="Arial" w:hAnsi="Arial"/>
          <w:sz w:val="24"/>
          <w:szCs w:val="24"/>
        </w:rPr>
        <w:t xml:space="preserve">4azkids.com</w:t>
      </w:r>
    </w:p>
    <w:p>
      <w:pPr>
        <w:pStyle w:val="ListParagraph"/>
        <w:numPr>
          <w:ilvl w:val="0"/>
          <w:numId w:val="8"/>
        </w:numPr>
      </w:pPr>
      <w:r>
        <w:rPr>
          <w:rFonts w:ascii="Arial" w:cs="Arial" w:eastAsia="Arial" w:hAnsi="Arial"/>
          <w:sz w:val="24"/>
          <w:szCs w:val="24"/>
        </w:rPr>
        <w:t xml:space="preserve">azblackout.com</w:t>
      </w:r>
    </w:p>
    <w:p>
      <w:pPr>
        <w:pStyle w:val="ListParagraph"/>
        <w:numPr>
          <w:ilvl w:val="0"/>
          <w:numId w:val="8"/>
        </w:numPr>
      </w:pPr>
      <w:r>
        <w:rPr>
          <w:rFonts w:ascii="Arial" w:cs="Arial" w:eastAsia="Arial" w:hAnsi="Arial"/>
          <w:sz w:val="24"/>
          <w:szCs w:val="24"/>
        </w:rPr>
        <w:t xml:space="preserve">blackoutplate.com</w:t>
      </w:r>
    </w:p>
    <w:p>
      <w:pPr>
        <w:pStyle w:val="ListParagraph"/>
        <w:numPr>
          <w:ilvl w:val="0"/>
          <w:numId w:val="8"/>
        </w:numPr>
      </w:pPr>
      <w:r>
        <w:rPr>
          <w:rFonts w:ascii="Arial" w:cs="Arial" w:eastAsia="Arial" w:hAnsi="Arial"/>
          <w:sz w:val="24"/>
          <w:szCs w:val="24"/>
        </w:rPr>
        <w:t xml:space="preserve">az4kids.com</w:t>
      </w:r>
    </w:p>
    <w:p>
      <w:pPr>
        <w:pStyle w:val="ListParagraph"/>
        <w:numPr>
          <w:ilvl w:val="0"/>
          <w:numId w:val="8"/>
        </w:numPr>
      </w:pPr>
      <w:r>
        <w:rPr>
          <w:rFonts w:ascii="Arial" w:cs="Arial" w:eastAsia="Arial" w:hAnsi="Arial"/>
          <w:sz w:val="24"/>
          <w:szCs w:val="24"/>
        </w:rPr>
        <w:t xml:space="preserve">getblackout.com</w:t>
      </w:r>
    </w:p>
    <w:p>
      <w:pPr>
        <w:spacing w:after="200" w:before="200"/>
      </w:pPr>
      <w:r>
        <w:rPr>
          <w:rFonts w:ascii="Arial" w:cs="Arial" w:eastAsia="Arial" w:hAnsi="Arial"/>
          <w:i/>
          <w:iCs/>
          <w:color w:val="666666"/>
          <w:sz w:val="20"/>
          <w:szCs w:val="20"/>
        </w:rPr>
        <w:t xml:space="preserve">Alternative considered: </w:t>
      </w:r>
      <w:r>
        <w:rPr>
          <w:rFonts w:ascii="Arial" w:cs="Arial" w:eastAsia="Arial" w:hAnsi="Arial"/>
          <w:i/>
          <w:iCs/>
          <w:color w:val="666666"/>
          <w:sz w:val="20"/>
          <w:szCs w:val="20"/>
        </w:rPr>
        <w:t xml:space="preserve">Subdomain on saguaros.com (e.g., plate.saguaros.com). Simpler setup but less billboard-friendly and ties the plate to the Saguaros brand more explicitly than desired.</w:t>
      </w:r>
    </w:p>
    <w:p>
      <w:pPr>
        <w:pStyle w:val="Heading1"/>
      </w:pPr>
      <w:r>
        <w:t xml:space="preserve">Documentation &amp; Process</w:t>
      </w:r>
    </w:p>
    <w:p>
      <w:pPr>
        <w:spacing w:after="100"/>
      </w:pPr>
      <w:r>
        <w:rPr>
          <w:rFonts w:ascii="Arial" w:cs="Arial" w:eastAsia="Arial" w:hAnsi="Arial"/>
          <w:sz w:val="24"/>
          <w:szCs w:val="24"/>
        </w:rPr>
        <w:t xml:space="preserve">A core component of this project is documenting the entire process along the way:</w:t>
      </w:r>
    </w:p>
    <w:p>
      <w:pPr>
        <w:pStyle w:val="ListParagraph"/>
        <w:numPr>
          <w:ilvl w:val="0"/>
          <w:numId w:val="8"/>
        </w:numPr>
      </w:pPr>
      <w:r>
        <w:rPr>
          <w:rFonts w:ascii="Arial" w:cs="Arial" w:eastAsia="Arial" w:hAnsi="Arial"/>
          <w:b/>
          <w:bCs/>
          <w:sz w:val="24"/>
          <w:szCs w:val="24"/>
        </w:rPr>
        <w:t xml:space="preserve">Build Logs: </w:t>
      </w:r>
      <w:r>
        <w:rPr>
          <w:rFonts w:ascii="Arial" w:cs="Arial" w:eastAsia="Arial" w:hAnsi="Arial"/>
          <w:sz w:val="24"/>
          <w:szCs w:val="24"/>
        </w:rPr>
        <w:t xml:space="preserve">Every major asset (landing page, billboard design, press release) will have its creation process documented—tools used, decisions made, iterations, and outcomes.</w:t>
      </w:r>
    </w:p>
    <w:p>
      <w:pPr>
        <w:pStyle w:val="ListParagraph"/>
        <w:numPr>
          <w:ilvl w:val="0"/>
          <w:numId w:val="8"/>
        </w:numPr>
      </w:pPr>
      <w:r>
        <w:rPr>
          <w:rFonts w:ascii="Arial" w:cs="Arial" w:eastAsia="Arial" w:hAnsi="Arial"/>
          <w:b/>
          <w:bCs/>
          <w:sz w:val="24"/>
          <w:szCs w:val="24"/>
        </w:rPr>
        <w:t xml:space="preserve">Agentic Tool Usage: </w:t>
      </w:r>
      <w:r>
        <w:rPr>
          <w:rFonts w:ascii="Arial" w:cs="Arial" w:eastAsia="Arial" w:hAnsi="Arial"/>
          <w:sz w:val="24"/>
          <w:szCs w:val="24"/>
        </w:rPr>
        <w:t xml:space="preserve">As assets are developed using AI and agentic tools, the workflow will be captured as a case study for modern nonprofit marketing.</w:t>
      </w:r>
    </w:p>
    <w:p>
      <w:pPr>
        <w:pStyle w:val="ListParagraph"/>
        <w:numPr>
          <w:ilvl w:val="0"/>
          <w:numId w:val="8"/>
        </w:numPr>
      </w:pPr>
      <w:r>
        <w:rPr>
          <w:rFonts w:ascii="Arial" w:cs="Arial" w:eastAsia="Arial" w:hAnsi="Arial"/>
          <w:b/>
          <w:bCs/>
          <w:sz w:val="24"/>
          <w:szCs w:val="24"/>
        </w:rPr>
        <w:t xml:space="preserve">Performance Tracking: </w:t>
      </w:r>
      <w:r>
        <w:rPr>
          <w:rFonts w:ascii="Arial" w:cs="Arial" w:eastAsia="Arial" w:hAnsi="Arial"/>
          <w:sz w:val="24"/>
          <w:szCs w:val="24"/>
        </w:rPr>
        <w:t xml:space="preserve">Social metrics (shares, reach, engagement), plate sales data from ADOT, and revenue tracking will be documented and reported.</w:t>
      </w:r>
    </w:p>
    <w:p>
      <w:pPr>
        <w:pStyle w:val="ListParagraph"/>
        <w:numPr>
          <w:ilvl w:val="0"/>
          <w:numId w:val="8"/>
        </w:numPr>
      </w:pPr>
      <w:r>
        <w:rPr>
          <w:rFonts w:ascii="Arial" w:cs="Arial" w:eastAsia="Arial" w:hAnsi="Arial"/>
          <w:b/>
          <w:bCs/>
          <w:sz w:val="24"/>
          <w:szCs w:val="24"/>
        </w:rPr>
        <w:t xml:space="preserve">Campaign Playbooks: </w:t>
      </w:r>
      <w:r>
        <w:rPr>
          <w:rFonts w:ascii="Arial" w:cs="Arial" w:eastAsia="Arial" w:hAnsi="Arial"/>
          <w:sz w:val="24"/>
          <w:szCs w:val="24"/>
        </w:rPr>
        <w:t xml:space="preserve">Each successful campaign becomes a reusable playbook for the License Plate Chairman and future board leadership.</w:t>
      </w:r>
    </w:p>
    <w:p>
      <w:pPr>
        <w:pStyle w:val="ListParagraph"/>
        <w:numPr>
          <w:ilvl w:val="0"/>
          <w:numId w:val="8"/>
        </w:numPr>
      </w:pPr>
      <w:r>
        <w:rPr>
          <w:rFonts w:ascii="Arial" w:cs="Arial" w:eastAsia="Arial" w:hAnsi="Arial"/>
          <w:b/>
          <w:bCs/>
          <w:sz w:val="24"/>
          <w:szCs w:val="24"/>
        </w:rPr>
        <w:t xml:space="preserve">Shareable Assets: </w:t>
      </w:r>
      <w:r>
        <w:rPr>
          <w:rFonts w:ascii="Arial" w:cs="Arial" w:eastAsia="Arial" w:hAnsi="Arial"/>
          <w:sz w:val="24"/>
          <w:szCs w:val="24"/>
        </w:rPr>
        <w:t xml:space="preserve">This folder and its contents will eventually be shared with applicable Saguaros board members and used to distribute marketing materials to partners.</w:t>
      </w:r>
    </w:p>
    <w:p>
      <w:pPr>
        <w:pStyle w:val="Heading1"/>
      </w:pPr>
      <w:r>
        <w:t xml:space="preserve">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2200"/>
        <w:gridCol w:w="2200"/>
      </w:tblGrid>
      <w:tr>
        <w:tc>
          <w:tcPr>
            <w:tcW w:type="dxa" w:w="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Item</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Finalize project scope document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March 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Complete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Secure domain for landing page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March 14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In Progress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Build landing page with agentic tools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March 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Complete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4</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Deploy landing page to Vercel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March 18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In Progress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Prepare launch day social media assets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March 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Planned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6</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Billboard creative for Leclair Callahan (~$10K, 4 weeks)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March 26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Planned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Coordinate March 26 launch across all channels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March 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Planned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8</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Begin Blackout Plate brand identity development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April 2026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Planned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Draft Phase 2 press releases for local media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April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Planned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Evaluate Phase 1 billboard ROI for expansion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April 2026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Planned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Propose License Plate Chairman role to 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Q2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Planned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12</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Evaluate SMS short code campaign feasibility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Q2 2026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Planned</w:t>
            </w:r>
          </w:p>
        </w:tc>
      </w:tr>
    </w:tbl>
    <w:p>
      <w:pPr>
        <w:spacing w:before="400"/>
      </w:pPr>
    </w:p>
    <w:p>
      <w:r>
        <w:rPr>
          <w:rFonts w:ascii="Arial" w:cs="Arial" w:eastAsia="Arial" w:hAnsi="Arial"/>
          <w:i/>
          <w:iCs/>
          <w:color w:val="666666"/>
          <w:sz w:val="22"/>
          <w:szCs w:val="22"/>
        </w:rPr>
        <w:t xml:space="preserve">This scope is a living document. As assets are created, campaigns are launched, and results are measured, this framework will evolve. Every piece of work done under this project will be stored in the </w:t>
      </w:r>
      <w:r>
        <w:rPr>
          <w:rFonts w:ascii="Arial" w:cs="Arial" w:eastAsia="Arial" w:hAnsi="Arial"/>
          <w:b/>
          <w:bCs/>
          <w:i/>
          <w:iCs/>
          <w:color w:val="666666"/>
          <w:sz w:val="22"/>
          <w:szCs w:val="22"/>
        </w:rPr>
        <w:t xml:space="preserve">Saguaros License Plate</w:t>
      </w:r>
      <w:r>
        <w:rPr>
          <w:rFonts w:ascii="Arial" w:cs="Arial" w:eastAsia="Arial" w:hAnsi="Arial"/>
          <w:i/>
          <w:iCs/>
          <w:color w:val="666666"/>
          <w:sz w:val="22"/>
          <w:szCs w:val="22"/>
        </w:rPr>
        <w:t xml:space="preserve"> project folder and documented for future reference.</w:t>
      </w:r>
    </w:p>
    <w:p>
      <w:pPr>
        <w:spacing w:before="200"/>
      </w:pPr>
    </w:p>
    <w:p>
      <w:r>
        <w:rPr>
          <w:rFonts w:ascii="Arial" w:cs="Arial" w:eastAsia="Arial" w:hAnsi="Arial"/>
          <w:b/>
          <w:bCs/>
          <w:i/>
          <w:iCs/>
          <w:color w:val="333333"/>
          <w:sz w:val="24"/>
          <w:szCs w:val="24"/>
        </w:rPr>
        <w:t xml:space="preserve">The plate sells itself. Our job is to put it in front of every Arizonan.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pPr>
    <w:r>
      <w:rPr>
        <w:rFonts w:ascii="Arial" w:cs="Arial" w:eastAsia="Arial" w:hAnsi="Arial"/>
        <w:color w:val="999999"/>
        <w:sz w:val="18"/>
        <w:szCs w:val="18"/>
      </w:rPr>
      <w:t xml:space="preserve">The Blackout Plate  |  Project Scope &amp; Strategic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9"/>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 w:numId="8">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2026-03-11T23:51:22.633Z</dcterms:created>
  <dcterms:modified xsi:type="dcterms:W3CDTF">2026-03-11T23:51:22.633Z</dcterms:modified>
</cp:coreProperties>
</file>

<file path=docProps/custom.xml><?xml version="1.0" encoding="utf-8"?>
<Properties xmlns="http://schemas.openxmlformats.org/officeDocument/2006/custom-properties" xmlns:vt="http://schemas.openxmlformats.org/officeDocument/2006/docPropsVTypes"/>
</file>