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5" w:name="_Toc465443886"/>
      <w:bookmarkStart w:id="96" w:name="_Toc465444192"/>
      <w:bookmarkStart w:id="97" w:name="_Toc465453763"/>
      <w:bookmarkStart w:id="98" w:name="_Toc465454065"/>
      <w:bookmarkStart w:id="99" w:name="_Toc465454218"/>
      <w:bookmarkStart w:id="100" w:name="_Toc466131358"/>
      <w:bookmarkStart w:id="101" w:name="_Toc466139981"/>
      <w:bookmarkStart w:id="102" w:name="_Toc466659923"/>
      <w:bookmarkStart w:id="103" w:name="_Toc467408151"/>
      <w:bookmarkStart w:id="104" w:name="_Toc468452560"/>
      <w:bookmarkStart w:id="105" w:name="_Toc477353611"/>
      <w:bookmarkStart w:id="106" w:name="_Toc477445555"/>
      <w:bookmarkStart w:id="107" w:name="_Toc485732461"/>
      <w:bookmarkStart w:id="108" w:name="_Toc493767357"/>
      <w:bookmarkStart w:id="109" w:name="_Toc493767420"/>
      <w:bookmarkStart w:id="110" w:name="_Toc494465432"/>
      <w:bookmarkStart w:id="111" w:name="_Toc494465496"/>
      <w:bookmarkStart w:id="112" w:name="_Toc49463720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6E19C4">
        <w:rPr>
          <w:rFonts w:ascii="Tahoma" w:hAnsi="Tahoma" w:cs="Tahoma"/>
          <w:b/>
          <w:color w:val="00AEF0"/>
        </w:rPr>
        <w:t>7 [01/10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EAD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CB1EAD" w:rsidRDefault="003B6C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5" w:history="1">
            <w:r w:rsidR="00CB1EAD" w:rsidRPr="00CF3998">
              <w:rPr>
                <w:rStyle w:val="Hyperlink"/>
                <w:rFonts w:cs="Times New Roman"/>
                <w:noProof/>
              </w:rPr>
              <w:t>1.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6" w:history="1">
            <w:r w:rsidR="00CB1EAD" w:rsidRPr="00CF3998">
              <w:rPr>
                <w:rStyle w:val="Hyperlink"/>
                <w:rFonts w:cs="Times New Roman"/>
                <w:noProof/>
              </w:rPr>
              <w:t>1.1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7" w:history="1">
            <w:r w:rsidR="00CB1EAD" w:rsidRPr="00CF3998">
              <w:rPr>
                <w:rStyle w:val="Hyperlink"/>
                <w:rFonts w:cs="Times New Roman"/>
                <w:noProof/>
              </w:rPr>
              <w:t>1.2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8" w:history="1">
            <w:r w:rsidR="00CB1EAD" w:rsidRPr="00CF3998">
              <w:rPr>
                <w:rStyle w:val="Hyperlink"/>
                <w:noProof/>
              </w:rPr>
              <w:t>1.2.1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Job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9" w:history="1">
            <w:r w:rsidR="00CB1EAD" w:rsidRPr="00CF3998">
              <w:rPr>
                <w:rStyle w:val="Hyperlink"/>
                <w:noProof/>
              </w:rPr>
              <w:t>1.2.2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0" w:history="1">
            <w:r w:rsidR="00CB1EAD" w:rsidRPr="00CF3998">
              <w:rPr>
                <w:rStyle w:val="Hyperlink"/>
                <w:noProof/>
              </w:rPr>
              <w:t>1.2.3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1" w:history="1">
            <w:r w:rsidR="00CB1EAD" w:rsidRPr="00CF3998">
              <w:rPr>
                <w:rStyle w:val="Hyperlink"/>
                <w:noProof/>
              </w:rPr>
              <w:t>1.2.4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High frequency 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2" w:history="1">
            <w:r w:rsidR="00CB1EAD" w:rsidRPr="00CF3998">
              <w:rPr>
                <w:rStyle w:val="Hyperlink"/>
                <w:noProof/>
              </w:rPr>
              <w:t>1.2.5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RPT / dataset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3" w:history="1">
            <w:r w:rsidR="00CB1EAD" w:rsidRPr="00CF3998">
              <w:rPr>
                <w:rStyle w:val="Hyperlink"/>
                <w:noProof/>
              </w:rPr>
              <w:t>1.2.6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4" w:history="1">
            <w:r w:rsidR="00CB1EAD" w:rsidRPr="00CF3998">
              <w:rPr>
                <w:rStyle w:val="Hyperlink"/>
                <w:noProof/>
              </w:rPr>
              <w:t>1.2.7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finish / notch effects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5" w:history="1">
            <w:r w:rsidR="00CB1EAD" w:rsidRPr="00CF3998">
              <w:rPr>
                <w:rStyle w:val="Hyperlink"/>
                <w:noProof/>
              </w:rPr>
              <w:t>1.2.8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Virtual strain gauges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6" w:history="1">
            <w:r w:rsidR="00CB1EAD" w:rsidRPr="00CF3998">
              <w:rPr>
                <w:rStyle w:val="Hyperlink"/>
                <w:noProof/>
              </w:rPr>
              <w:t>1.2.9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requests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7" w:history="1">
            <w:r w:rsidR="00CB1EAD" w:rsidRPr="00CF3998">
              <w:rPr>
                <w:rStyle w:val="Hyperlink"/>
                <w:noProof/>
              </w:rPr>
              <w:t>1.2.10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8" w:history="1">
            <w:r w:rsidR="00CB1EAD" w:rsidRPr="00CF3998">
              <w:rPr>
                <w:rStyle w:val="Hyperlink"/>
                <w:noProof/>
              </w:rPr>
              <w:t>1.2.11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BS 7608 weld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9" w:history="1">
            <w:r w:rsidR="00CB1EAD" w:rsidRPr="00CF3998">
              <w:rPr>
                <w:rStyle w:val="Hyperlink"/>
                <w:noProof/>
              </w:rPr>
              <w:t>1.2.12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Supplementary analysis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0" w:history="1">
            <w:r w:rsidR="00CB1EAD" w:rsidRPr="00CF3998">
              <w:rPr>
                <w:rStyle w:val="Hyperlink"/>
                <w:rFonts w:cs="Times New Roman"/>
                <w:noProof/>
              </w:rPr>
              <w:t>2.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1" w:history="1">
            <w:r w:rsidR="00CB1EAD" w:rsidRPr="00CF3998">
              <w:rPr>
                <w:rStyle w:val="Hyperlink"/>
                <w:rFonts w:cs="Times New Roman"/>
                <w:noProof/>
              </w:rPr>
              <w:t>2.1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2" w:history="1">
            <w:r w:rsidR="00CB1EAD" w:rsidRPr="00CF3998">
              <w:rPr>
                <w:rStyle w:val="Hyperlink"/>
                <w:noProof/>
              </w:rPr>
              <w:t>2.2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Global environment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3" w:history="1">
            <w:r w:rsidR="00CB1EAD" w:rsidRPr="00CF3998">
              <w:rPr>
                <w:rStyle w:val="Hyperlink"/>
                <w:noProof/>
              </w:rPr>
              <w:t>2.3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Local environment files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4" w:history="1">
            <w:r w:rsidR="00CB1EAD" w:rsidRPr="00CF3998">
              <w:rPr>
                <w:rStyle w:val="Hyperlink"/>
                <w:noProof/>
              </w:rPr>
              <w:t>2.4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Processing of 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5" w:history="1">
            <w:r w:rsidR="00CB1EAD" w:rsidRPr="00CF3998">
              <w:rPr>
                <w:rStyle w:val="Hyperlink"/>
                <w:rFonts w:cs="Times New Roman"/>
                <w:noProof/>
              </w:rPr>
              <w:t>2.5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6" w:history="1">
            <w:r w:rsidR="00CB1EAD" w:rsidRPr="00CF3998">
              <w:rPr>
                <w:rStyle w:val="Hyperlink"/>
                <w:noProof/>
              </w:rPr>
              <w:t>2.5.1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 gating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7" w:history="1">
            <w:r w:rsidR="00CB1EAD" w:rsidRPr="00CF3998">
              <w:rPr>
                <w:rStyle w:val="Hyperlink"/>
                <w:noProof/>
              </w:rPr>
              <w:t>2.5.2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Group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8" w:history="1">
            <w:r w:rsidR="00CB1EAD" w:rsidRPr="00CF3998">
              <w:rPr>
                <w:rStyle w:val="Hyperlink"/>
                <w:noProof/>
              </w:rPr>
              <w:t>2.5.3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detection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9" w:history="1">
            <w:r w:rsidR="00CB1EAD" w:rsidRPr="00CF3998">
              <w:rPr>
                <w:rStyle w:val="Hyperlink"/>
                <w:noProof/>
              </w:rPr>
              <w:t>2.5.4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Mean stress correction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0" w:history="1">
            <w:r w:rsidR="00CB1EAD" w:rsidRPr="00CF3998">
              <w:rPr>
                <w:rStyle w:val="Hyperlink"/>
                <w:noProof/>
              </w:rPr>
              <w:t>2.5.5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Rainflow cycle counting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1" w:history="1">
            <w:r w:rsidR="00CB1EAD" w:rsidRPr="00CF3998">
              <w:rPr>
                <w:rStyle w:val="Hyperlink"/>
                <w:noProof/>
              </w:rPr>
              <w:t>2.5.6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Shell elements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2" w:history="1">
            <w:r w:rsidR="00CB1EAD" w:rsidRPr="00CF3998">
              <w:rPr>
                <w:rStyle w:val="Hyperlink"/>
                <w:noProof/>
              </w:rPr>
              <w:t>2.5.7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Nodal elimination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3" w:history="1">
            <w:r w:rsidR="00CB1EAD" w:rsidRPr="00CF3998">
              <w:rPr>
                <w:rStyle w:val="Hyperlink"/>
                <w:noProof/>
              </w:rPr>
              <w:t>2.5.8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Critical plane 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4" w:history="1">
            <w:r w:rsidR="00CB1EAD" w:rsidRPr="00CF3998">
              <w:rPr>
                <w:rStyle w:val="Hyperlink"/>
                <w:noProof/>
              </w:rPr>
              <w:t>2.5.9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Sign convention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5" w:history="1">
            <w:r w:rsidR="00CB1EAD" w:rsidRPr="00CF3998">
              <w:rPr>
                <w:rStyle w:val="Hyperlink"/>
                <w:noProof/>
              </w:rPr>
              <w:t>2.5.10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6" w:history="1">
            <w:r w:rsidR="00CB1EAD" w:rsidRPr="00CF3998">
              <w:rPr>
                <w:rStyle w:val="Hyperlink"/>
                <w:noProof/>
              </w:rPr>
              <w:t>2.5.11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Compressive cycles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7" w:history="1">
            <w:r w:rsidR="00CB1EAD" w:rsidRPr="00CF3998">
              <w:rPr>
                <w:rStyle w:val="Hyperlink"/>
                <w:noProof/>
              </w:rPr>
              <w:t>2.5.12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Fatigue/endurance limit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8" w:history="1">
            <w:r w:rsidR="00CB1EAD" w:rsidRPr="00CF3998">
              <w:rPr>
                <w:rStyle w:val="Hyperlink"/>
                <w:noProof/>
              </w:rPr>
              <w:t>2.5.13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Factor of strength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9" w:history="1">
            <w:r w:rsidR="00CB1EAD" w:rsidRPr="00CF3998">
              <w:rPr>
                <w:rStyle w:val="Hyperlink"/>
                <w:noProof/>
              </w:rPr>
              <w:t>2.5.14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 reserve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0" w:history="1">
            <w:r w:rsidR="00CB1EAD" w:rsidRPr="00CF3998">
              <w:rPr>
                <w:rStyle w:val="Hyperlink"/>
                <w:noProof/>
              </w:rPr>
              <w:t>2.5.15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Notch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1" w:history="1">
            <w:r w:rsidR="00CB1EAD" w:rsidRPr="00CF3998">
              <w:rPr>
                <w:rStyle w:val="Hyperlink"/>
                <w:noProof/>
              </w:rPr>
              <w:t>2.5.16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Eigensolver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2" w:history="1">
            <w:r w:rsidR="00CB1EAD" w:rsidRPr="00CF3998">
              <w:rPr>
                <w:rStyle w:val="Hyperlink"/>
                <w:noProof/>
              </w:rPr>
              <w:t>2.5.17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MATLAB figure appearance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3" w:history="1">
            <w:r w:rsidR="00CB1EAD" w:rsidRPr="00CF3998">
              <w:rPr>
                <w:rStyle w:val="Hyperlink"/>
                <w:noProof/>
              </w:rPr>
              <w:t>2.5.18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individual control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4" w:history="1">
            <w:r w:rsidR="00CB1EAD" w:rsidRPr="00CF3998">
              <w:rPr>
                <w:rStyle w:val="Hyperlink"/>
                <w:noProof/>
              </w:rPr>
              <w:t>2.5.19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Application data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5" w:history="1">
            <w:r w:rsidR="00CB1EAD" w:rsidRPr="00CF3998">
              <w:rPr>
                <w:rStyle w:val="Hyperlink"/>
                <w:noProof/>
              </w:rPr>
              <w:t>2.5.20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Workspace caching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6" w:history="1">
            <w:r w:rsidR="00CB1EAD" w:rsidRPr="00CF3998">
              <w:rPr>
                <w:rStyle w:val="Hyperlink"/>
                <w:noProof/>
              </w:rPr>
              <w:t>2.5.21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7" w:history="1">
            <w:r w:rsidR="00CB1EAD" w:rsidRPr="00CF3998">
              <w:rPr>
                <w:rStyle w:val="Hyperlink"/>
                <w:rFonts w:cs="Times New Roman"/>
                <w:noProof/>
              </w:rPr>
              <w:t>3.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8" w:history="1">
            <w:r w:rsidR="00CB1EAD" w:rsidRPr="00CF3998">
              <w:rPr>
                <w:rStyle w:val="Hyperlink"/>
                <w:rFonts w:cs="Times New Roman"/>
                <w:noProof/>
              </w:rPr>
              <w:t>3.1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9" w:history="1">
            <w:r w:rsidR="00CB1EAD" w:rsidRPr="00CF3998">
              <w:rPr>
                <w:rStyle w:val="Hyperlink"/>
                <w:rFonts w:cs="Times New Roman"/>
                <w:noProof/>
              </w:rPr>
              <w:t>3.2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Keyword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0" w:history="1">
            <w:r w:rsidR="00CB1EAD" w:rsidRPr="00CF3998">
              <w:rPr>
                <w:rStyle w:val="Hyperlink"/>
                <w:rFonts w:cs="Times New Roman"/>
                <w:noProof/>
              </w:rPr>
              <w:t>3.3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Data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1" w:history="1">
            <w:r w:rsidR="00CB1EAD" w:rsidRPr="00CF3998">
              <w:rPr>
                <w:rStyle w:val="Hyperlink"/>
                <w:rFonts w:cs="Times New Roman"/>
                <w:noProof/>
              </w:rPr>
              <w:t>3.4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2" w:history="1">
            <w:r w:rsidR="00CB1EAD" w:rsidRPr="00CF3998">
              <w:rPr>
                <w:rStyle w:val="Hyperlink"/>
                <w:noProof/>
              </w:rPr>
              <w:t>*USER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3" w:history="1">
            <w:r w:rsidR="00CB1EAD" w:rsidRPr="00CF3998">
              <w:rPr>
                <w:rStyle w:val="Hyperlink"/>
                <w:noProof/>
              </w:rPr>
              <w:t>*DESCRIPTION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4" w:history="1">
            <w:r w:rsidR="00CB1EAD" w:rsidRPr="00CF3998">
              <w:rPr>
                <w:rStyle w:val="Hyperlink"/>
                <w:noProof/>
              </w:rPr>
              <w:t>*DEFAULT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5" w:history="1">
            <w:r w:rsidR="00CB1EAD" w:rsidRPr="00CF3998">
              <w:rPr>
                <w:rStyle w:val="Hyperlink"/>
                <w:noProof/>
              </w:rPr>
              <w:t>*DEFAULT MSC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6" w:history="1">
            <w:r w:rsidR="00CB1EAD" w:rsidRPr="00CF3998">
              <w:rPr>
                <w:rStyle w:val="Hyperlink"/>
                <w:noProof/>
              </w:rPr>
              <w:t>*CAEL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7" w:history="1">
            <w:r w:rsidR="00CB1EAD" w:rsidRPr="00CF3998">
              <w:rPr>
                <w:rStyle w:val="Hyperlink"/>
                <w:noProof/>
              </w:rPr>
              <w:t>*REGRESSION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8" w:history="1">
            <w:r w:rsidR="00CB1EAD" w:rsidRPr="00CF3998">
              <w:rPr>
                <w:rStyle w:val="Hyperlink"/>
                <w:noProof/>
              </w:rPr>
              <w:t>*MECHANICAL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9" w:history="1">
            <w:r w:rsidR="00CB1EAD" w:rsidRPr="00CF3998">
              <w:rPr>
                <w:rStyle w:val="Hyperlink"/>
                <w:noProof/>
              </w:rPr>
              <w:t>*FATIGUE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0" w:history="1">
            <w:r w:rsidR="00CB1EAD" w:rsidRPr="00CF3998">
              <w:rPr>
                <w:rStyle w:val="Hyperlink"/>
                <w:noProof/>
              </w:rPr>
              <w:t>*R RATIOS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1" w:history="1">
            <w:r w:rsidR="00CB1EAD" w:rsidRPr="00CF3998">
              <w:rPr>
                <w:rStyle w:val="Hyperlink"/>
                <w:noProof/>
              </w:rPr>
              <w:t>*CYCLIC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2" w:history="1">
            <w:r w:rsidR="00CB1EAD" w:rsidRPr="00CF3998">
              <w:rPr>
                <w:rStyle w:val="Hyperlink"/>
                <w:noProof/>
              </w:rPr>
              <w:t>*NORMAL STRESS SENSITIVTY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3" w:history="1">
            <w:r w:rsidR="00CB1EAD" w:rsidRPr="00CF3998">
              <w:rPr>
                <w:rStyle w:val="Hyperlink"/>
                <w:noProof/>
              </w:rPr>
              <w:t>*CLASS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4" w:history="1">
            <w:r w:rsidR="00CB1EAD" w:rsidRPr="00CF3998">
              <w:rPr>
                <w:rStyle w:val="Hyperlink"/>
                <w:noProof/>
              </w:rPr>
              <w:t>*COMPOSITE CRITERION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B6CF2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5" w:history="1">
            <w:r w:rsidR="00CB1EAD" w:rsidRPr="00CF3998">
              <w:rPr>
                <w:rStyle w:val="Hyperlink"/>
                <w:noProof/>
              </w:rPr>
              <w:t>*END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3" w:name="_Toc49463720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4" w:name="_Toc422131880"/>
      <w:bookmarkStart w:id="115" w:name="_Toc422226026"/>
      <w:bookmarkStart w:id="116" w:name="_Toc422258504"/>
      <w:bookmarkStart w:id="117" w:name="_Toc424218785"/>
      <w:bookmarkStart w:id="118" w:name="_Toc424473975"/>
      <w:bookmarkStart w:id="119" w:name="_Toc424736568"/>
      <w:bookmarkStart w:id="120" w:name="_Toc425517335"/>
      <w:bookmarkStart w:id="121" w:name="_Toc429302732"/>
      <w:bookmarkStart w:id="122" w:name="_Toc429571747"/>
      <w:bookmarkStart w:id="123" w:name="_Toc429572027"/>
      <w:bookmarkStart w:id="124" w:name="_Toc429746725"/>
      <w:bookmarkStart w:id="125" w:name="_Toc429848132"/>
      <w:bookmarkStart w:id="126" w:name="_Toc431725708"/>
      <w:bookmarkStart w:id="127" w:name="_Toc432617903"/>
      <w:bookmarkStart w:id="128" w:name="_Toc467408264"/>
      <w:bookmarkStart w:id="129" w:name="_Toc49463720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655803">
        <w:rPr>
          <w:rFonts w:cs="Times New Roman"/>
        </w:rPr>
        <w:t>Overview</w:t>
      </w:r>
      <w:bookmarkEnd w:id="12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0" w:name="_Toc422131881"/>
      <w:bookmarkStart w:id="131" w:name="_Toc422226027"/>
      <w:bookmarkStart w:id="132" w:name="_Toc422258505"/>
      <w:bookmarkStart w:id="133" w:name="_Toc424218786"/>
      <w:bookmarkStart w:id="134" w:name="_Toc424473976"/>
      <w:bookmarkStart w:id="135" w:name="_Toc424736569"/>
      <w:bookmarkStart w:id="136" w:name="_Toc425517336"/>
      <w:bookmarkStart w:id="137" w:name="_Toc429302733"/>
      <w:bookmarkStart w:id="138" w:name="_Toc429571748"/>
      <w:bookmarkStart w:id="139" w:name="_Toc429572028"/>
      <w:bookmarkStart w:id="140" w:name="_Toc429746726"/>
      <w:bookmarkStart w:id="141" w:name="_Toc429848133"/>
      <w:bookmarkStart w:id="142" w:name="_Toc431725709"/>
      <w:bookmarkStart w:id="143" w:name="_Toc432617904"/>
      <w:bookmarkStart w:id="144" w:name="_Toc467408265"/>
      <w:bookmarkStart w:id="145" w:name="_Toc49463720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="002263E1">
        <w:rPr>
          <w:rFonts w:cs="Times New Roman"/>
        </w:rPr>
        <w:t xml:space="preserve"> table</w:t>
      </w:r>
      <w:bookmarkEnd w:id="14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1"/>
      <w:bookmarkStart w:id="147" w:name="_Toc494465436"/>
      <w:bookmarkStart w:id="148" w:name="_Toc4946372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9" w:name="_Toc493767362"/>
      <w:bookmarkStart w:id="150" w:name="_Toc494465437"/>
      <w:bookmarkStart w:id="151" w:name="_Toc4946372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9"/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3"/>
      <w:bookmarkStart w:id="153" w:name="_Toc494465438"/>
      <w:bookmarkStart w:id="154" w:name="_Toc4946372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2"/>
      <w:bookmarkEnd w:id="153"/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5" w:name="_Toc493767364"/>
      <w:bookmarkStart w:id="156" w:name="_Toc494465439"/>
      <w:bookmarkStart w:id="157" w:name="_Toc4946372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5"/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3B6CF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3B6CF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65"/>
      <w:bookmarkStart w:id="159" w:name="_Toc494465440"/>
      <w:bookmarkStart w:id="160" w:name="_Toc4946372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8"/>
      <w:bookmarkEnd w:id="159"/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1" w:name="_Toc493767366"/>
      <w:bookmarkStart w:id="162" w:name="_Toc494465441"/>
      <w:bookmarkStart w:id="163" w:name="_Toc4946372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7"/>
      <w:bookmarkStart w:id="165" w:name="_Toc494465442"/>
      <w:bookmarkStart w:id="166" w:name="_Toc4946372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4"/>
      <w:bookmarkEnd w:id="165"/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7" w:name="_Toc493767368"/>
      <w:bookmarkStart w:id="168" w:name="_Toc494465443"/>
      <w:bookmarkStart w:id="169" w:name="_Toc49463721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7"/>
      <w:bookmarkEnd w:id="168"/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3B6CF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3B6CF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3B6CF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0" w:name="_Toc493767369"/>
      <w:bookmarkStart w:id="171" w:name="_Toc494465444"/>
      <w:bookmarkStart w:id="172" w:name="_Toc49463721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0"/>
      <w:bookmarkEnd w:id="171"/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3" w:name="_Toc493767370"/>
      <w:bookmarkStart w:id="174" w:name="_Toc494465445"/>
      <w:bookmarkStart w:id="175" w:name="_Toc49463721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71"/>
      <w:bookmarkStart w:id="177" w:name="_Toc494465446"/>
      <w:bookmarkStart w:id="178" w:name="_Toc49463721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6"/>
      <w:bookmarkEnd w:id="177"/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9" w:name="_Toc493767372"/>
      <w:bookmarkStart w:id="180" w:name="_Toc494465447"/>
      <w:bookmarkStart w:id="181" w:name="_Toc49463721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9"/>
      <w:r w:rsidR="006276B8">
        <w:rPr>
          <w:color w:val="auto"/>
        </w:rPr>
        <w:t>Supplementary analysis options</w:t>
      </w:r>
      <w:bookmarkEnd w:id="180"/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r w:rsidR="00287813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Basquin’s exponent,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composite failure criteria calculation</w:t>
            </w:r>
            <w:r w:rsidR="00856AF9">
              <w:rPr>
                <w:rFonts w:cs="Times New Roman"/>
              </w:rPr>
              <w:t>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composite failure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Evaluate composite failure 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2" w:name="_Toc49463722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2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3" w:name="_Toc49463722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3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4" w:name="_Toc466659935"/>
      <w:bookmarkStart w:id="185" w:name="_Toc467408163"/>
      <w:bookmarkStart w:id="186" w:name="_Toc468452572"/>
      <w:bookmarkStart w:id="187" w:name="_Toc468910592"/>
      <w:bookmarkStart w:id="188" w:name="_Toc469330775"/>
      <w:bookmarkStart w:id="189" w:name="_Toc469933206"/>
      <w:bookmarkStart w:id="190" w:name="_Toc474273424"/>
      <w:bookmarkStart w:id="191" w:name="_Toc494637222"/>
      <w:r>
        <w:t>2.2</w:t>
      </w:r>
      <w:r w:rsidR="00D372F8" w:rsidRPr="002D6188">
        <w:tab/>
      </w:r>
      <w:bookmarkEnd w:id="184"/>
      <w:bookmarkEnd w:id="185"/>
      <w:bookmarkEnd w:id="186"/>
      <w:bookmarkEnd w:id="187"/>
      <w:bookmarkEnd w:id="188"/>
      <w:bookmarkEnd w:id="189"/>
      <w:bookmarkEnd w:id="190"/>
      <w:r w:rsidR="00D372F8">
        <w:t>Global environment file</w:t>
      </w:r>
      <w:bookmarkEnd w:id="191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2" w:name="_Toc49463722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2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3" w:name="_Toc494637224"/>
      <w:r>
        <w:t>2.4</w:t>
      </w:r>
      <w:r w:rsidR="00654E75" w:rsidRPr="002D6188">
        <w:tab/>
      </w:r>
      <w:r w:rsidR="00654E75">
        <w:t>Processing of environment variables</w:t>
      </w:r>
      <w:bookmarkEnd w:id="193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4" w:name="_Toc49463722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4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5" w:name="_Toc483834692"/>
      <w:bookmarkStart w:id="196" w:name="_Toc483917774"/>
      <w:bookmarkStart w:id="197" w:name="_Toc484623201"/>
      <w:bookmarkStart w:id="198" w:name="_Toc485640244"/>
      <w:bookmarkStart w:id="199" w:name="_Toc485640333"/>
      <w:bookmarkStart w:id="200" w:name="_Toc485643518"/>
      <w:bookmarkStart w:id="201" w:name="_Toc485717633"/>
      <w:bookmarkStart w:id="202" w:name="_Toc485923057"/>
      <w:bookmarkStart w:id="203" w:name="_Toc490935374"/>
      <w:bookmarkStart w:id="204" w:name="_Toc493767379"/>
      <w:bookmarkStart w:id="205" w:name="_Toc49463722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color w:val="auto"/>
        </w:rPr>
        <w:t>Load gating</w:t>
      </w:r>
      <w:bookmarkEnd w:id="204"/>
      <w:bookmarkEnd w:id="205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0"/>
      <w:bookmarkStart w:id="207" w:name="_Toc4946372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1"/>
      <w:bookmarkStart w:id="209" w:name="_Toc4946372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2"/>
      <w:bookmarkStart w:id="211" w:name="_Toc4946372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3"/>
      <w:bookmarkStart w:id="213" w:name="_Toc4946372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4"/>
      <w:bookmarkStart w:id="215" w:name="_Toc49463723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5"/>
      <w:bookmarkStart w:id="217" w:name="_Toc4946372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6372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6372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6372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6372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6372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proofErr w:type="spellStart"/>
            <w:r w:rsidR="00863F78">
              <w:rPr>
                <w:rFonts w:eastAsiaTheme="minorEastAsia" w:cs="Courier New"/>
              </w:rPr>
              <w:t>igue</w:t>
            </w:r>
            <w:proofErr w:type="spellEnd"/>
            <w:r w:rsidR="00863F78">
              <w:rPr>
                <w:rFonts w:eastAsiaTheme="minorEastAsia" w:cs="Courier New"/>
              </w:rPr>
              <w:t xml:space="preserve">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B6CF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B6CF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3B6CF2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6372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3B6CF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6372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6372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637241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63724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6372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637244"/>
      <w:r>
        <w:rPr>
          <w:color w:val="auto"/>
        </w:rPr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6372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6372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proofErr w:type="spellStart"/>
            <w:r w:rsidR="008405CB">
              <w:rPr>
                <w:rFonts w:eastAsiaTheme="minorEastAsia" w:cs="Times New Roman"/>
              </w:rPr>
              <w:t>tomatically</w:t>
            </w:r>
            <w:proofErr w:type="spellEnd"/>
            <w:r w:rsidR="008405CB">
              <w:rPr>
                <w:rFonts w:eastAsiaTheme="minorEastAsia" w:cs="Times New Roman"/>
              </w:rPr>
              <w:t xml:space="preserve">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637247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637248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63724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637250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637251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637252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637253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637254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637255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637256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637257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637258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637259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275" w:name="_Toc477445576"/>
      <w:bookmarkStart w:id="276" w:name="_Toc485732484"/>
      <w:bookmarkStart w:id="277" w:name="_Toc494637260"/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637261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637262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637263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637264"/>
      <w:r>
        <w:lastRenderedPageBreak/>
        <w:t xml:space="preserve">*COMPOSITE </w:t>
      </w:r>
      <w:r w:rsidR="005E4441">
        <w:t>CRITERION</w:t>
      </w:r>
      <w:bookmarkEnd w:id="287"/>
    </w:p>
    <w:p w:rsidR="005D17AA" w:rsidRPr="007B6048" w:rsidRDefault="005D17AA" w:rsidP="005D17AA">
      <w:pPr>
        <w:pStyle w:val="Title"/>
      </w:pPr>
      <w:r>
        <w:t>Specify properties for composite failure</w:t>
      </w:r>
      <w:r w:rsidR="005E4441">
        <w:t xml:space="preserve"> and damage initiation</w:t>
      </w:r>
      <w:r>
        <w:t xml:space="preserve"> criteria.</w:t>
      </w:r>
    </w:p>
    <w:p w:rsidR="005D17AA" w:rsidRDefault="005D17AA" w:rsidP="005D17AA">
      <w:pPr>
        <w:jc w:val="both"/>
      </w:pPr>
      <w:r>
        <w:t>This option is used to specify composite failure</w:t>
      </w:r>
      <w:r w:rsidR="005E4441">
        <w:t xml:space="preserve"> and damage initiation properties</w:t>
      </w:r>
      <w:r>
        <w:t>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>Tensile stress (fiber direction)</w:t>
      </w:r>
      <w:r w:rsidR="005D17AA"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(fiber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coefficient.</w:t>
      </w:r>
    </w:p>
    <w:p w:rsidR="003865C4" w:rsidRPr="008B4E6F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3"/>
        </w:numPr>
      </w:pPr>
      <w:r>
        <w:t>Tensile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Tensile strain (transverse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(transverse direction).</w:t>
      </w:r>
    </w:p>
    <w:p w:rsidR="003865C4" w:rsidRPr="00561FCF" w:rsidRDefault="003865C4" w:rsidP="003865C4">
      <w:pPr>
        <w:pStyle w:val="ListParagraph"/>
        <w:numPr>
          <w:ilvl w:val="0"/>
          <w:numId w:val="33"/>
        </w:numPr>
      </w:pPr>
      <w:r>
        <w:t>Shear strain.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strength.</w:t>
      </w:r>
    </w:p>
    <w:p w:rsidR="005D17AA" w:rsidRDefault="005D17AA" w:rsidP="005D17AA">
      <w:pPr>
        <w:jc w:val="both"/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701F7A" w:rsidRPr="00865DD8" w:rsidRDefault="00701F7A" w:rsidP="00701F7A">
      <w:pPr>
        <w:pStyle w:val="Heading3"/>
      </w:pPr>
      <w:bookmarkStart w:id="288" w:name="_Toc477445580"/>
      <w:bookmarkStart w:id="289" w:name="_Toc485732488"/>
      <w:bookmarkStart w:id="290" w:name="_Toc494637265"/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25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31"/>
  </w:num>
  <w:num w:numId="16">
    <w:abstractNumId w:val="13"/>
  </w:num>
  <w:num w:numId="17">
    <w:abstractNumId w:val="17"/>
  </w:num>
  <w:num w:numId="18">
    <w:abstractNumId w:val="28"/>
  </w:num>
  <w:num w:numId="19">
    <w:abstractNumId w:val="11"/>
  </w:num>
  <w:num w:numId="20">
    <w:abstractNumId w:val="15"/>
  </w:num>
  <w:num w:numId="21">
    <w:abstractNumId w:val="5"/>
  </w:num>
  <w:num w:numId="22">
    <w:abstractNumId w:val="22"/>
  </w:num>
  <w:num w:numId="23">
    <w:abstractNumId w:val="4"/>
  </w:num>
  <w:num w:numId="24">
    <w:abstractNumId w:val="27"/>
  </w:num>
  <w:num w:numId="25">
    <w:abstractNumId w:val="26"/>
  </w:num>
  <w:num w:numId="26">
    <w:abstractNumId w:val="3"/>
  </w:num>
  <w:num w:numId="27">
    <w:abstractNumId w:val="33"/>
  </w:num>
  <w:num w:numId="28">
    <w:abstractNumId w:val="1"/>
  </w:num>
  <w:num w:numId="29">
    <w:abstractNumId w:val="19"/>
  </w:num>
  <w:num w:numId="30">
    <w:abstractNumId w:val="20"/>
  </w:num>
  <w:num w:numId="31">
    <w:abstractNumId w:val="7"/>
  </w:num>
  <w:num w:numId="32">
    <w:abstractNumId w:val="32"/>
  </w:num>
  <w:num w:numId="33">
    <w:abstractNumId w:val="18"/>
  </w:num>
  <w:num w:numId="34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C50D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A9510A-F5EE-4731-AC40-9D53005A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11007</Words>
  <Characters>62746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315</cp:revision>
  <cp:lastPrinted>2017-10-01T16:03:00Z</cp:lastPrinted>
  <dcterms:created xsi:type="dcterms:W3CDTF">2016-12-02T13:04:00Z</dcterms:created>
  <dcterms:modified xsi:type="dcterms:W3CDTF">2017-10-01T16:03:00Z</dcterms:modified>
</cp:coreProperties>
</file>