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Acceptable Use Policy</w:t>
      </w:r>
    </w:p>
    <w:p>
      <w:pPr/>
      <w:r>
        <w:t>Scope: All employees and contractors.</w:t>
      </w:r>
    </w:p>
    <w:p>
      <w:r>
        <w:t>Purpose</w:t>
      </w:r>
    </w:p>
    <w:p>
      <w:r>
        <w:t>Define what is and is not allowed on company systems.</w:t>
      </w:r>
    </w:p>
    <w:p>
      <w:r>
        <w:t>Definitions:</w:t>
      </w:r>
    </w:p>
    <w:p>
      <w:r>
        <w:t>- Personal Use: any non-business use of company resources.</w:t>
      </w:r>
    </w:p>
    <w:p>
      <w:r>
        <w:t>- Confidential Data: data marked as such by Data Owner.</w:t>
      </w:r>
    </w:p>
    <w:p>
      <w:r>
        <w:t>Responsibilities: IT enforces, Legal interprets.</w:t>
      </w:r>
    </w:p>
    <w:p>
      <w:r>
        <w:t>Records: signed acknowledgment form, annual training completion log.</w:t>
      </w:r>
    </w:p>
    <w:p>
      <w:r>
        <w:t>References: ISO 27001 Annex A.6, NIST SP 800-53 AC-1.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