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Acceptable Use Policy</w:t>
      </w:r>
    </w:p>
    <w:p>
      <w:pPr/>
      <w:r>
        <w:t>Scope: All employees and contractors.</w:t>
      </w:r>
    </w:p>
    <w:p>
      <w:r>
        <w:t>Purpose</w:t>
      </w:r>
    </w:p>
    <w:p>
      <w:r>
        <w:t>Define what is and is not allowed on company systems.</w:t>
      </w:r>
    </w:p>
    <w:p>
      <w:r>
        <w:t>Definitions:</w:t>
      </w:r>
    </w:p>
    <w:p>
      <w:r>
        <w:t>- Personal Use: any non-business use of company resources.</w:t>
      </w:r>
    </w:p>
    <w:p>
      <w:r>
        <w:t>- Confidential Data: data marked as such by Data Owner.</w:t>
      </w:r>
    </w:p>
    <w:p>
      <w:r>
        <w:t>Responsibilities: IT enforces, Legal interprets.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