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Stratégique Marketing 2025</w:t>
      </w:r>
    </w:p>
    <w:p>
      <w:pPr>
        <w:pStyle w:val="Heading1"/>
      </w:pPr>
      <w:r>
        <w:t>Objectifs</w:t>
      </w:r>
    </w:p>
    <w:p>
      <w:r>
        <w:t>Augmenter la notoriété de la marque de 40% sur le segment B2B Enterprise.</w:t>
      </w:r>
    </w:p>
    <w:p>
      <w:pPr>
        <w:pStyle w:val="Heading1"/>
      </w:pPr>
      <w:r>
        <w:t>Cibles (Personas)</w:t>
      </w:r>
    </w:p>
    <w:p>
      <w:r>
        <w:t>Directeurs de l'Innovation (CTO), RSSI, et Responsables de la transformation digitale.</w:t>
      </w:r>
    </w:p>
    <w:p>
      <w:pPr>
        <w:pStyle w:val="Heading1"/>
      </w:pPr>
      <w:r>
        <w:t>Canaux</w:t>
      </w:r>
    </w:p>
    <w:p>
      <w:r>
        <w:t>LinkedIn Ads, Webinars techniques, et participation au salon VivaTech.</w:t>
      </w:r>
    </w:p>
    <w:p>
      <w:pPr>
        <w:pStyle w:val="Heading1"/>
      </w:pPr>
      <w:r>
        <w:t>Budget</w:t>
      </w:r>
    </w:p>
    <w:p>
      <w:r>
        <w:t>Allocation totale de 250k€ répartie sur 4 trimestres.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