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/>
      </w:pPr>
      <w:r>
        <w:rPr>
          <w:rFonts w:ascii="Microsoft YaHei" w:hAnsi="Microsoft YaHei" w:eastAsia="Microsoft YaHei"/>
          <w:b/>
          <w:color w:val="1F4E78"/>
          <w:sz w:val="40"/>
          <w:szCs w:val="40"/>
        </w:rPr>
        <w:t xml:space="preserve">Fray 横版格斗游戏技术设计文档模板</w:t>
      </w:r>
    </w:p>
    <w:p>
      <w:pPr>
        <w:jc w:val="center"/>
        <w:spacing w:before="0" w:after="220"/>
      </w:pPr>
      <w:r>
        <w:rPr>
          <w:rFonts w:ascii="Microsoft YaHei" w:hAnsi="Microsoft YaHei" w:eastAsia="Microsoft YaHei"/>
          <w:color w:val="666666"/>
          <w:sz w:val="21"/>
          <w:szCs w:val="21"/>
        </w:rPr>
        <w:t xml:space="preserve">用途：说明项目架构、Fray 集成、数据流、扩展点和性能约束。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项目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填写内容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文档名称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Fray 横版格斗游戏技术设计文档模板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项目名称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负责人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版本号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v0.1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创建/更新日期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____年__月__日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状态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□ 草稿　□ 评审中　□ 已确认</w:t>
            </w:r>
          </w:p>
        </w:tc>
      </w:tr>
    </w:tbl>
    <w:p>
      <w:pPr>
        <w:jc w:val="left"/>
        <w:spacing w:before="260" w:after="100"/>
      </w:pPr>
      <w:r>
        <w:rPr>
          <w:rFonts w:ascii="Microsoft YaHei" w:hAnsi="Microsoft YaHei" w:eastAsia="Microsoft YaHei"/>
          <w:b/>
          <w:color w:val="1F4E78"/>
          <w:sz w:val="28"/>
          <w:szCs w:val="28"/>
        </w:rPr>
        <w:t xml:space="preserve">填写提示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删除灰色提示后填写；未确定项写“待定”；关键结论注明版本、负责人和依据。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1. 技术目标与约束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Godot/Fray 版本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目标平台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帧率与分辨率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确定性/回放需求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性能预算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已知限制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2. 目录与模块职责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模块清单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模块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主要路径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职责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依赖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负责人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3. 场景与节点结构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主场景树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fighter 场景结构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相机与舞台结构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UI 结构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节点生命周期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关键节点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节点/场景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类型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职责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创建时机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销毁时机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4. 输入架构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FrayController 配置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输入映射与虚拟设备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组合/序列输入流程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FrayBufferedInputAdvancer 接入点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输入到状态转移的数据流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5. 状态机架构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FrayStateMachine 所有权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FrayCompoundState.builder() 拓扑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状态类职责边界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transition/tag/rule/condition 使用方案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外部战斗事件 goto()/travel() 集中入口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6. 攻击与命中架构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FrayHitState2D/FrayHitbox2D 配置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FrayAttackAttribute 资源组织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命中事件数据流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hurtbox/hitbox 生命周期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自定义 attribute 扩展方案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攻击资源直接挂到 strike FrayHitbox2D.attribute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fighter 从 Fray hit state 发现或缓存 attribute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不建立并行攻击定义表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damage/hitstun/blockstun/knockback/launch 不重复散传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7. 动画架构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FrayAnimationObserver 配置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animation tracker 使用方式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动画事件驱动 hitbox 窗口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状态完成与动画完成的关系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8. 数据、存档与配置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资源/配置清单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资源类型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路径规则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加载方式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版本兼容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备注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9. 调试与性能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调试显示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日志策略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性能采样点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对象复用策略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异常与恢复策略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10. 必要的 Fray 绕过项</w:t>
      </w:r>
    </w:p>
    <w:p>
      <w:pPr>
        <w:jc w:val="left"/>
        <w:spacing w:before="0" w:after="12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原则上留空；必须绕过 Fray 时写明原因。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绕过记录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需求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无法使用的 Fray API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自定义方案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原因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风险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后续计划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变更记录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版本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日期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修改人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变更内容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pgSz w:w="11906" w:h="16838"/>
      <w:pgMar w:top="1200" w:right="900" w:bottom="1200" w:left="900"/>
    </w:sectPr>
  </w:body>
</w:document>
</file>