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横版格斗游戏文档模板使用说明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用途：快速选择、复制和维护本套模板。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横版格斗游戏文档模板使用说明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模板清单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01 游戏设计文档（GDD）：立项及大方向评审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02 战斗系统设计文档：确定战斗规则与公共参数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03 角色设计与招式表：每个角色复制一份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04 输入系统设计文档：定义设备、指令与缓冲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05 Fray 技术设计文档：架构评审与实现约束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06 关卡与游戏模式文档：设计舞台、镜头和模式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07 美术与音频规范：资产生产前统一规格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08 测试计划与验收清单：每个版本测试与发布验收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09 开发计划与里程碑：排期、任务和风险管理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建议填写顺序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第一阶段：01 GDD → 02 战斗系统 → 05 技术设计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第二阶段：04 输入系统 → 03 首个角色 → 06 首个舞台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第三阶段：07 资产规范 → 08 测试计划 → 09 迭代排期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项目专用原则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优先使用 Fray 已有能力，不建立 Godot-native 或自定义并行系统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攻击与受击数据以 FrayAttackAttribute 为唯一来源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角色流程使用 Fray 状态机表达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重要设计决策记录版本、负责人和依据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