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180"/>
      </w:pPr>
      <w:r>
        <w:rPr>
          <w:rFonts w:ascii="Microsoft YaHei" w:hAnsi="Microsoft YaHei" w:eastAsia="Microsoft YaHei"/>
          <w:b/>
          <w:color w:val="1F4E78"/>
          <w:sz w:val="40"/>
          <w:szCs w:val="40"/>
        </w:rPr>
        <w:t xml:space="preserve">输入系统设计文档模板</w:t>
      </w:r>
    </w:p>
    <w:p>
      <w:pPr>
        <w:jc w:val="center"/>
        <w:spacing w:before="0" w:after="220"/>
      </w:pPr>
      <w:r>
        <w:rPr>
          <w:rFonts w:ascii="Microsoft YaHei" w:hAnsi="Microsoft YaHei" w:eastAsia="Microsoft YaHei"/>
          <w:color w:val="666666"/>
          <w:sz w:val="21"/>
          <w:szCs w:val="21"/>
        </w:rPr>
        <w:t xml:space="preserve">用途：定义设备映射、组合/序列输入、缓冲和输入冲突处理。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项目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填写内容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文档名称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输入系统设计文档模板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项目名称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负责人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版本号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v0.1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创建/更新日期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____年__月__日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状态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□ 草稿　□ 评审中　□ 已确认</w:t>
            </w:r>
          </w:p>
        </w:tc>
      </w:tr>
    </w:tbl>
    <w:p>
      <w:pPr>
        <w:jc w:val="left"/>
        <w:spacing w:before="260" w:after="100"/>
      </w:pPr>
      <w:r>
        <w:rPr>
          <w:rFonts w:ascii="Microsoft YaHei" w:hAnsi="Microsoft YaHei" w:eastAsia="Microsoft YaHei"/>
          <w:b/>
          <w:color w:val="1F4E78"/>
          <w:sz w:val="28"/>
          <w:szCs w:val="28"/>
        </w:rPr>
        <w:t xml:space="preserve">填写提示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666666"/>
          <w:sz w:val="19"/>
          <w:szCs w:val="19"/>
        </w:rPr>
        <w:t xml:space="preserve">删除灰色提示后填写；未确定项写“待定”；关键结论注明版本、负责人和依据。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1. 输入目标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支持设备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本地玩家数量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输入延迟目标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键位自定义范围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无障碍输入需求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2. Fray 输入映射</w:t>
      </w:r>
    </w:p>
    <w:p>
      <w:pPr>
        <w:jc w:val="left"/>
        <w:spacing w:before="0" w:after="120"/>
      </w:pPr>
      <w:r>
        <w:rPr>
          <w:rFonts w:ascii="Microsoft YaHei" w:hAnsi="Microsoft YaHei" w:eastAsia="Microsoft YaHei"/>
          <w:color w:val="666666"/>
          <w:sz w:val="19"/>
          <w:szCs w:val="19"/>
        </w:rPr>
        <w:t xml:space="preserve">优先使用 FrayController、Fray 输入映射和虚拟设备。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动作映射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动作 ID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键盘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手柄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虚拟设备映射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可重绑定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备注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3. 组合与序列输入</w:t>
      </w:r>
    </w:p>
    <w:p>
      <w:pPr>
        <w:jc w:val="left"/>
        <w:spacing w:before="0" w:after="120"/>
      </w:pPr>
      <w:r>
        <w:rPr>
          <w:rFonts w:ascii="Microsoft YaHei" w:hAnsi="Microsoft YaHei" w:eastAsia="Microsoft YaHei"/>
          <w:color w:val="666666"/>
          <w:sz w:val="19"/>
          <w:szCs w:val="19"/>
        </w:rPr>
        <w:t xml:space="preserve">组合输入、序列输入及识别窗口应使用 Fray 能力。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复杂输入定义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招式/动作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输入序列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方向容错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按键容错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有效窗口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优先级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4. 输入缓冲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缓冲长度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按下/释放处理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状态切换时的保留规则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无效输入的丢弃规则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FrayBufferedInputAdvancer 使用方式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5. 冲突与优先级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输入冲突表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输入 A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输入 B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适用状态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优先结果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原因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6. 测试场景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键盘与手柄映射一致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快速连续按键无误触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组合键同帧/跨帧均符合设计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序列输入容错符合设计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状态切换时缓冲正确消费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断开/重连设备可恢复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双人输入互不串扰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变更记录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版本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日期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修改人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变更内容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sectPr>
      <w:pgSz w:w="11906" w:h="16838"/>
      <w:pgMar w:top="1200" w:right="900" w:bottom="1200" w:left="900"/>
    </w:sectPr>
  </w:body>
</w:document>
</file>