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Arial" w:hAnsi="Arial" w:eastAsia="黑体"/>
          <w:sz w:val="40"/>
        </w:rPr>
        <w:t xml:space="preserve">境外投资管理办法 </w:t>
        <w:br/>
        <w:t xml:space="preserve"> 法规要求分析报告</w:t>
      </w:r>
    </w:p>
    <w:p>
      <w:pPr>
        <w:pStyle w:val="Heading1"/>
      </w:pPr>
      <w:r>
        <w:t>报告说明</w:t>
      </w:r>
    </w:p>
    <w:p>
      <w:pPr>
        <w:spacing w:after="240"/>
        <w:ind w:firstLine="720"/>
      </w:pPr>
      <w:r>
        <w:t>本报告旨在分析该法规对企业境外投资在8大风险类别和36个子类别下的具体要求。报告重点说明法规规定了什么、要求企业做什么，以及企业应如何满足这些要求。</w:t>
      </w:r>
    </w:p>
    <w:p>
      <w:pPr>
        <w:pStyle w:val="Heading1"/>
      </w:pPr>
      <w:r>
        <w:t>法规整体分析与合规实施建议</w:t>
      </w:r>
    </w:p>
    <w:p>
      <w:r>
        <w:drawing>
          <wp:inline xmlns:a="http://schemas.openxmlformats.org/drawingml/2006/main" xmlns:pic="http://schemas.openxmlformats.org/drawingml/2006/picture">
            <wp:extent cx="5486400" cy="6932645"/>
            <wp:docPr id="1" name="Picture 1"/>
            <wp:cNvGraphicFramePr>
              <a:graphicFrameLocks noChangeAspect="1"/>
            </wp:cNvGraphicFramePr>
            <a:graphic>
              <a:graphicData uri="http://schemas.openxmlformats.org/drawingml/2006/picture">
                <pic:pic>
                  <pic:nvPicPr>
                    <pic:cNvPr id="0" name="境外投资管理办法_分类汇总热力图.png"/>
                    <pic:cNvPicPr/>
                  </pic:nvPicPr>
                  <pic:blipFill>
                    <a:blip r:embed="rId9"/>
                    <a:stretch>
                      <a:fillRect/>
                    </a:stretch>
                  </pic:blipFill>
                  <pic:spPr>
                    <a:xfrm>
                      <a:off x="0" y="0"/>
                      <a:ext cx="5486400" cy="6932645"/>
                    </a:xfrm>
                    <a:prstGeom prst="rect"/>
                  </pic:spPr>
                </pic:pic>
              </a:graphicData>
            </a:graphic>
          </wp:inline>
        </w:drawing>
      </w:r>
    </w:p>
    <w:p>
      <w:pPr>
        <w:jc w:val="center"/>
      </w:pPr>
      <w:r>
        <w:rPr>
          <w:i/>
        </w:rPr>
        <w:t>图：8大类风险法规防控要求覆盖热力图（分值越高要求越严格）</w:t>
      </w:r>
    </w:p>
    <w:p>
      <w:r>
        <w:drawing>
          <wp:inline xmlns:a="http://schemas.openxmlformats.org/drawingml/2006/main" xmlns:pic="http://schemas.openxmlformats.org/drawingml/2006/picture">
            <wp:extent cx="5486400" cy="8724126"/>
            <wp:docPr id="2" name="Picture 2"/>
            <wp:cNvGraphicFramePr>
              <a:graphicFrameLocks noChangeAspect="1"/>
            </wp:cNvGraphicFramePr>
            <a:graphic>
              <a:graphicData uri="http://schemas.openxmlformats.org/drawingml/2006/picture">
                <pic:pic>
                  <pic:nvPicPr>
                    <pic:cNvPr id="0" name="境外投资管理办法_详细热力图.png"/>
                    <pic:cNvPicPr/>
                  </pic:nvPicPr>
                  <pic:blipFill>
                    <a:blip r:embed="rId10"/>
                    <a:stretch>
                      <a:fillRect/>
                    </a:stretch>
                  </pic:blipFill>
                  <pic:spPr>
                    <a:xfrm>
                      <a:off x="0" y="0"/>
                      <a:ext cx="5486400" cy="8724126"/>
                    </a:xfrm>
                    <a:prstGeom prst="rect"/>
                  </pic:spPr>
                </pic:pic>
              </a:graphicData>
            </a:graphic>
          </wp:inline>
        </w:drawing>
      </w:r>
    </w:p>
    <w:p>
      <w:pPr>
        <w:jc w:val="center"/>
      </w:pPr>
      <w:r>
        <w:rPr>
          <w:i/>
        </w:rPr>
        <w:t>图：36小类风险法规防控要求覆盖热力图（分值越高要求越严格）</w:t>
      </w:r>
    </w:p>
    <w:p>
      <w:pPr>
        <w:pStyle w:val="Heading2"/>
      </w:pPr>
      <w:r>
        <w:t>法规整体分析</w:t>
      </w:r>
    </w:p>
    <w:p>
      <w:pPr>
        <w:spacing w:after="160"/>
        <w:ind w:firstLine="720"/>
      </w:pPr>
      <w:r>
        <w:t>《企业境外投资管理办法》作为规范企业境外投资行为的核心法规，其根本目的是在促进企业"走出去"的同时，确保境外投资活动符合国家利益和安全要求。该法规构建了以备案核准为核心的管理体系，对涉及敏感国家地区和敏感行业的投资实施严格的核准管理，对一般性投资实施备案管理。</w:t>
      </w:r>
    </w:p>
    <w:p>
      <w:pPr>
        <w:spacing w:after="160"/>
        <w:ind w:firstLine="720"/>
      </w:pPr>
      <w:r>
        <w:t>法规对企业境外投资的主要要求涵盖四个关键领域：一是投资决策的合法性和自主性，强调企业依法自主决策、自负盈亏；二是国家安全和公共利益保护，明确投资不得危害国家主权、安全和社会公共利益；三是合规运营要求，包括遵守投资目的地法律法规、履行社会责任、做好环境和劳工保护；四是安全管理要求，特别强调人员安全、突发事件应急管理和与驻外使领馆的协调机制。</w:t>
      </w:r>
    </w:p>
    <w:p>
      <w:pPr>
        <w:spacing w:after="160"/>
        <w:ind w:firstLine="720"/>
      </w:pPr>
      <w:r>
        <w:t>从管理思路看，法规体现了"宽进严管"的监管理念，在赋予企业投资自主权的同时，通过事前审批、事中监督、事后处罚的全流程管理确保投资活动的规范性。监管重点集中在敏感领域投资审批、出口管制合规、社会责任履行和安全风险防范等方面。</w:t>
      </w:r>
    </w:p>
    <w:p>
      <w:pPr>
        <w:pStyle w:val="Heading2"/>
      </w:pPr>
      <w:r>
        <w:t>合规实施建议</w:t>
      </w:r>
    </w:p>
    <w:p>
      <w:pPr>
        <w:spacing w:after="160"/>
        <w:ind w:firstLine="720"/>
      </w:pPr>
      <w:r>
        <w:t>基于法规要求分析，企业应建立覆盖境外投资全生命周期的合规管理体系，重点包括以下核心要素：</w:t>
      </w:r>
    </w:p>
    <w:p>
      <w:pPr>
        <w:spacing w:after="160"/>
        <w:ind w:firstLine="720"/>
      </w:pPr>
      <w:r>
        <w:t>首先，建立投资决策合规审查机制。企业需要建立投资项目合规评估程序，在投资决策前准确识别项目是否涉及敏感国家地区或敏感行业，确定适用备案或核准程序。对于涉及出口限制产品技术的项目，必须提前获得相关部门的出口许可。建立投资决策文件管理制度，确保申报材料的真实性和完整性。</w:t>
      </w:r>
    </w:p>
    <w:p>
      <w:pPr>
        <w:spacing w:after="160"/>
        <w:ind w:firstLine="720"/>
      </w:pPr>
      <w:r>
        <w:t>其次，构建境外企业管理体系。企业应建立对境外投资企业的管控机制，确保其遵守当地法律法规、履行社会责任。制定境外企业行为准则，明确在环境保护、劳工权益、社区关系等方面的具体要求。建立定期报告和监督检查制度，及时发现和纠正违规行为。</w:t>
      </w:r>
    </w:p>
    <w:p>
      <w:pPr>
        <w:spacing w:after="160"/>
        <w:ind w:firstLine="720"/>
      </w:pPr>
      <w:r>
        <w:t>第三，完善安全管理和应急响应体系。企业必须建立外派人员全流程管理制度，包括人员选拔审查、行前培训、安全保障、应急管理等环节。制定突发事件应急预案，建立预警机制和快速响应程序。与驻外使领馆建立常态化联系机制，确保在紧急情况下能够得到及时支持。</w:t>
      </w:r>
    </w:p>
    <w:p>
      <w:pPr>
        <w:spacing w:after="160"/>
        <w:ind w:firstLine="720"/>
      </w:pPr>
      <w:r>
        <w:t>实施步骤建议：第一步，开展现状评估，识别现有管理体系与法规要求的差距；第二步，制定合规体系建设方案，明确各项制度建设的时间表和责任人；第三步，建立核心制度文件，包括投资决策程序、境外企业管理办法、安全管理制度等；第四步，开展全员培训，确保相关人员理解并执行合规要求；第五步，建立监督检查和持续改进机制，定期评估合规体系的有效性并及时优化完善。</w:t>
      </w:r>
    </w:p>
    <w:p>
      <w:r>
        <w:br w:type="page"/>
      </w:r>
    </w:p>
    <w:p>
      <w:pPr>
        <w:pStyle w:val="Heading1"/>
      </w:pPr>
      <w:r>
        <w:t>一、治理与战略</w:t>
      </w:r>
    </w:p>
    <w:p>
      <w:pPr>
        <w:pStyle w:val="Heading2"/>
      </w:pPr>
      <w:r>
        <w:t>大类法规要求概述</w:t>
      </w:r>
    </w:p>
    <w:p>
      <w:pPr>
        <w:spacing w:after="240"/>
        <w:ind w:firstLine="720"/>
      </w:pPr>
      <w:r>
        <w:t>该法规对企业境外投资的治理与战略层面提出了基础性要求，主要集中在投资决策的自主性、合法性和备案核准管理方面。法规强调企业应依法自主决策、自负盈亏，同时必须确保投资行为不危害国家主权、安全和社会公共利益。对于涉及敏感国家地区和敏感行业的投资，实行更严格的核准管理。法规还要求企业在投资前进行充分的尽职调查和风险评估，并建立对境外企业的管理机制。整体而言，法规为企业境外投资的治理框架设定了基本原则和程序要求，但在董事会监督、内部授权等具体治理机制方面未作详细规定。</w:t>
      </w:r>
    </w:p>
    <w:p>
      <w:pPr>
        <w:pStyle w:val="Heading2"/>
      </w:pPr>
      <w:r>
        <w:t>子类别法规要求分析</w:t>
      </w:r>
    </w:p>
    <w:tbl>
      <w:tblPr>
        <w:tblStyle w:val="LightGrid-Accent1"/>
        <w:tblW w:type="auto" w:w="0"/>
        <w:tblLayout w:type="autofit"/>
        <w:tblLook w:firstColumn="1" w:firstRow="1" w:lastColumn="0" w:lastRow="0" w:noHBand="0" w:noVBand="1" w:val="04A0"/>
      </w:tblPr>
      <w:tblGrid>
        <w:gridCol w:w="2160"/>
        <w:gridCol w:w="2160"/>
        <w:gridCol w:w="2160"/>
        <w:gridCol w:w="2160"/>
      </w:tblGrid>
      <w:tr>
        <w:tc>
          <w:tcPr>
            <w:tcW w:type="dxa" w:w="2160"/>
            <w:shd w:fill="E0E0E0"/>
          </w:tcPr>
          <w:p>
            <w:pPr>
              <w:jc w:val="center"/>
            </w:pPr>
            <w:r>
              <w:rPr>
                <w:rFonts w:ascii="Arial" w:hAnsi="Arial" w:eastAsia="黑体"/>
                <w:b/>
                <w:sz w:val="22"/>
              </w:rPr>
              <w:t>子类别</w:t>
            </w:r>
          </w:p>
        </w:tc>
        <w:tc>
          <w:tcPr>
            <w:tcW w:type="dxa" w:w="1440"/>
            <w:shd w:fill="E0E0E0"/>
          </w:tcPr>
          <w:p>
            <w:pPr>
              <w:jc w:val="center"/>
            </w:pPr>
            <w:r>
              <w:rPr>
                <w:rFonts w:ascii="Arial" w:hAnsi="Arial" w:eastAsia="黑体"/>
                <w:b/>
                <w:sz w:val="22"/>
              </w:rPr>
              <w:t>覆盖情况</w:t>
            </w:r>
          </w:p>
        </w:tc>
        <w:tc>
          <w:tcPr>
            <w:tcW w:type="dxa" w:w="5040"/>
            <w:shd w:fill="E0E0E0"/>
          </w:tcPr>
          <w:p>
            <w:pPr>
              <w:jc w:val="center"/>
            </w:pPr>
            <w:r>
              <w:rPr>
                <w:rFonts w:ascii="Arial" w:hAnsi="Arial" w:eastAsia="黑体"/>
                <w:b/>
                <w:sz w:val="22"/>
              </w:rPr>
              <w:t>法规要求</w:t>
            </w:r>
          </w:p>
        </w:tc>
        <w:tc>
          <w:tcPr>
            <w:tcW w:type="dxa" w:w="3600"/>
            <w:shd w:fill="E0E0E0"/>
          </w:tcPr>
          <w:p>
            <w:pPr>
              <w:jc w:val="center"/>
            </w:pPr>
            <w:r>
              <w:rPr>
                <w:rFonts w:ascii="Arial" w:hAnsi="Arial" w:eastAsia="黑体"/>
                <w:b/>
                <w:sz w:val="22"/>
              </w:rPr>
              <w:t>关键条款/合规要点</w:t>
            </w:r>
          </w:p>
        </w:tc>
      </w:tr>
      <w:tr>
        <w:tc>
          <w:tcPr>
            <w:tcW w:type="dxa" w:w="2160"/>
            <w:vAlign w:val="top"/>
          </w:tcPr>
          <w:p>
            <w:pPr>
              <w:spacing w:after="60" w:before="60"/>
              <w:jc w:val="left"/>
            </w:pPr>
            <w:r>
              <w:rPr>
                <w:rFonts w:ascii="Times New Roman" w:hAnsi="Times New Roman" w:eastAsia="宋体"/>
                <w:sz w:val="20"/>
              </w:rPr>
              <w:t>海外业务治理与决策管理办法</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明确企业境外投资需依法自主决策、自负盈亏，不得危害国家主权、安全和社会公共利益。根据投资目的地和行业性质，企业需通过管理系统办理备案或核准手续。涉及敏感国家地区和敏感行业的投资必须获得核准。提供虚假材料或以不正当手段获得核准的，将面临撤销核准、警告及三年内禁止再次申请的处罚。</w:t>
            </w:r>
          </w:p>
        </w:tc>
        <w:tc>
          <w:tcPr>
            <w:tcW w:type="dxa" w:w="3600"/>
            <w:vAlign w:val="top"/>
          </w:tcPr>
          <w:p>
            <w:pPr>
              <w:spacing w:after="60" w:before="60"/>
            </w:pPr>
            <w:r>
              <w:rPr>
                <w:rFonts w:ascii="Times New Roman" w:hAnsi="Times New Roman" w:eastAsia="宋体"/>
                <w:sz w:val="20"/>
              </w:rPr>
              <w:t>【关键条款】</w:t>
              <w:br/>
              <w:t>• 第三条：企业依法自主决策、自负盈亏</w:t>
              <w:br/>
              <w:t>• 第四条：不得危害国家主权、安全和社会公共利益</w:t>
              <w:br/>
              <w:t>• 第六条：实行备案和核准管理</w:t>
              <w:br/>
              <w:t>• 第七条：敏感投资实行核准管理</w:t>
              <w:br/>
              <w:br/>
              <w:t>【合规要点】</w:t>
              <w:br/>
              <w:t>• 建立投资决策合法性审查机制</w:t>
              <w:br/>
              <w:t>• 完善备案核准申请流程</w:t>
              <w:br/>
              <w:t>• 确保申报材料真实准确</w:t>
              <w:br/>
              <w:t>• 识别敏感国家地区和行业清单</w:t>
            </w:r>
          </w:p>
        </w:tc>
      </w:tr>
      <w:tr>
        <w:tc>
          <w:tcPr>
            <w:tcW w:type="dxa" w:w="2160"/>
            <w:vAlign w:val="top"/>
          </w:tcPr>
          <w:p>
            <w:pPr>
              <w:spacing w:after="60" w:before="60"/>
              <w:jc w:val="left"/>
            </w:pPr>
            <w:r>
              <w:rPr>
                <w:rFonts w:ascii="Times New Roman" w:hAnsi="Times New Roman" w:eastAsia="宋体"/>
                <w:sz w:val="20"/>
              </w:rPr>
              <w:t>董事会海外风险监督细则</w:t>
            </w:r>
          </w:p>
        </w:tc>
        <w:tc>
          <w:tcPr>
            <w:tcW w:type="dxa" w:w="1440"/>
            <w:vAlign w:val="top"/>
          </w:tcPr>
          <w:p>
            <w:pPr>
              <w:spacing w:after="60" w:before="60"/>
              <w:jc w:val="center"/>
            </w:pPr>
            <w:r>
              <w:rPr>
                <w:rFonts w:ascii="Times New Roman" w:hAnsi="Times New Roman" w:eastAsia="宋体"/>
                <w:b/>
                <w:color w:val="FF0000"/>
                <w:sz w:val="20"/>
              </w:rPr>
              <w:t>未覆盖</w:t>
            </w:r>
          </w:p>
        </w:tc>
        <w:tc>
          <w:tcPr>
            <w:tcW w:type="dxa" w:w="5040"/>
            <w:vAlign w:val="top"/>
          </w:tcPr>
          <w:p>
            <w:pPr>
              <w:spacing w:after="60" w:before="60"/>
            </w:pPr>
            <w:r>
              <w:rPr>
                <w:rFonts w:ascii="Times New Roman" w:hAnsi="Times New Roman" w:eastAsia="宋体"/>
                <w:sz w:val="20"/>
              </w:rPr>
              <w:t>该法规对此子类别无相关要求。法规未涉及董事会层面的风险监督职责、年度风险计划制定、监督频次或信息披露等具体要求，仅规定了企业层面的基本管理原则。</w:t>
            </w:r>
          </w:p>
        </w:tc>
        <w:tc>
          <w:tcPr>
            <w:tcW w:type="dxa" w:w="3600"/>
            <w:vAlign w:val="top"/>
          </w:tcPr>
          <w:p>
            <w:pPr>
              <w:spacing w:after="60" w:before="60"/>
            </w:pPr>
            <w:r>
              <w:rPr>
                <w:rFonts w:ascii="Times New Roman" w:hAnsi="Times New Roman" w:eastAsia="宋体"/>
                <w:sz w:val="20"/>
              </w:rPr>
              <w:t>【合规要点】</w:t>
              <w:br/>
              <w:t>• 企业可自主建立董事会风险监督机制</w:t>
              <w:br/>
              <w:t>• 参考行业最佳实践制定监督细则</w:t>
            </w:r>
          </w:p>
        </w:tc>
      </w:tr>
      <w:tr>
        <w:tc>
          <w:tcPr>
            <w:tcW w:type="dxa" w:w="2160"/>
            <w:vAlign w:val="top"/>
          </w:tcPr>
          <w:p>
            <w:pPr>
              <w:spacing w:after="60" w:before="60"/>
              <w:jc w:val="left"/>
            </w:pPr>
            <w:r>
              <w:rPr>
                <w:rFonts w:ascii="Times New Roman" w:hAnsi="Times New Roman" w:eastAsia="宋体"/>
                <w:sz w:val="20"/>
              </w:rPr>
              <w:t>海外子公司管理授权与责任制度</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要求企业确保其投资的境外企业遵守投资目的地法律法规、尊重当地风俗习惯、履行社会责任。境外企业中方负责人应向驻外使（领）馆报到登记。但法规未涉及具体的授权限额、三道防线职责分工或越级报告通道等内部管理机制。</w:t>
            </w:r>
          </w:p>
        </w:tc>
        <w:tc>
          <w:tcPr>
            <w:tcW w:type="dxa" w:w="3600"/>
            <w:vAlign w:val="top"/>
          </w:tcPr>
          <w:p>
            <w:pPr>
              <w:spacing w:after="60" w:before="60"/>
            </w:pPr>
            <w:r>
              <w:rPr>
                <w:rFonts w:ascii="Times New Roman" w:hAnsi="Times New Roman" w:eastAsia="宋体"/>
                <w:sz w:val="20"/>
              </w:rPr>
              <w:t>【关键条款】</w:t>
              <w:br/>
              <w:t>• 第二十条：境外企业需遵守当地法律、履行社会责任</w:t>
              <w:br/>
              <w:t>• 第二十三条：中方负责人向使领馆报到登记</w:t>
              <w:br/>
              <w:br/>
              <w:t>【合规要点】</w:t>
              <w:br/>
              <w:t>• 建立境外企业合规管理机制</w:t>
              <w:br/>
              <w:t>• 确保中方负责人完成报到登记</w:t>
              <w:br/>
              <w:t>• 监督境外企业履行社会责任</w:t>
            </w:r>
          </w:p>
        </w:tc>
      </w:tr>
      <w:tr>
        <w:tc>
          <w:tcPr>
            <w:tcW w:type="dxa" w:w="2160"/>
            <w:vAlign w:val="top"/>
          </w:tcPr>
          <w:p>
            <w:pPr>
              <w:spacing w:after="60" w:before="60"/>
              <w:jc w:val="left"/>
            </w:pPr>
            <w:r>
              <w:rPr>
                <w:rFonts w:ascii="Times New Roman" w:hAnsi="Times New Roman" w:eastAsia="宋体"/>
                <w:sz w:val="20"/>
              </w:rPr>
              <w:t>战略规划与投资决策流程规范</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法规要求企业客观评估自身条件和能力，深入研究投资目的地的投资环境，进行充分的尽职调查和风险评估。但未对立项准入标准、可研报告模板或风险-回报阈值等具体决策工具和标准作出规定。</w:t>
            </w:r>
          </w:p>
        </w:tc>
        <w:tc>
          <w:tcPr>
            <w:tcW w:type="dxa" w:w="3600"/>
            <w:vAlign w:val="top"/>
          </w:tcPr>
          <w:p>
            <w:pPr>
              <w:spacing w:after="60" w:before="60"/>
            </w:pPr>
            <w:r>
              <w:rPr>
                <w:rFonts w:ascii="Times New Roman" w:hAnsi="Times New Roman" w:eastAsia="宋体"/>
                <w:sz w:val="20"/>
              </w:rPr>
              <w:t>【关键条款】</w:t>
              <w:br/>
              <w:t>• 第十九条：客观评估自身条件、深入研究投资环境</w:t>
              <w:br/>
              <w:br/>
              <w:t>【合规要点】</w:t>
              <w:br/>
              <w:t>• 开展全面的投资环境研究</w:t>
              <w:br/>
              <w:t>• 进行客观的自身能力评估</w:t>
              <w:br/>
              <w:t>• 建立风险评估机制</w:t>
            </w:r>
          </w:p>
        </w:tc>
      </w:tr>
    </w:tbl>
    <w:p>
      <w:pPr>
        <w:pStyle w:val="Heading2"/>
      </w:pPr>
      <w:r>
        <w:t>合规措施建议</w:t>
      </w:r>
    </w:p>
    <w:p>
      <w:pPr>
        <w:spacing w:after="240"/>
        <w:ind w:firstLine="720"/>
      </w:pPr>
      <w:r>
        <w:t>企业应建立健全境外投资治理体系，重点包括：一是完善投资决策机制，确保决策的合法性和科学性；二是建立备案核准管理流程，准确识别需要核准的敏感投资；三是加强对境外企业的管理，确保其合规经营并履行社会责任；四是强化投资前的尽职调查，充分评估投资风险。建议企业在法规基础要求之上，参考国际最佳实践，建立更完善的董事会监督机制和内部授权体系，形成覆盖投资全生命周期的治理框架。</w:t>
      </w:r>
    </w:p>
    <w:p/>
    <w:p/>
    <w:p>
      <w:pPr>
        <w:pStyle w:val="Heading1"/>
      </w:pPr>
      <w:r>
        <w:t>二、全面风险管理</w:t>
      </w:r>
    </w:p>
    <w:p>
      <w:pPr>
        <w:pStyle w:val="Heading2"/>
      </w:pPr>
      <w:r>
        <w:t>大类法规要求概述</w:t>
      </w:r>
    </w:p>
    <w:p>
      <w:pPr>
        <w:spacing w:after="240"/>
        <w:ind w:firstLine="720"/>
      </w:pPr>
      <w:r>
        <w:t>该法规对企业境外投资的全面风险管理提出了框架性要求，重点强调了风险防范的基本原则和关键环节。法规要求企业必须客观评估自身条件和投资环境，建立风险防范机制，特别是突发事件预警和应急管理体系。同时，法规建立了信息报告制度，要求企业定期向商务主管部门报告投资情况和相关问题。虽然法规未对风险管理的具体技术方法和工具作出详细规定，但明确了企业在境外投资过程中必须具备风险意识，建立基本的风险管理制度，并保持与监管部门的信息沟通。这体现了监管部门对企业境外投资风险管理的原则性要求和底线思维。</w:t>
      </w:r>
    </w:p>
    <w:p>
      <w:pPr>
        <w:pStyle w:val="Heading2"/>
      </w:pPr>
      <w:r>
        <w:t>子类别法规要求分析</w:t>
      </w:r>
    </w:p>
    <w:tbl>
      <w:tblPr>
        <w:tblStyle w:val="LightGrid-Accent1"/>
        <w:tblW w:type="auto" w:w="0"/>
        <w:tblLayout w:type="autofit"/>
        <w:tblLook w:firstColumn="1" w:firstRow="1" w:lastColumn="0" w:lastRow="0" w:noHBand="0" w:noVBand="1" w:val="04A0"/>
      </w:tblPr>
      <w:tblGrid>
        <w:gridCol w:w="2160"/>
        <w:gridCol w:w="2160"/>
        <w:gridCol w:w="2160"/>
        <w:gridCol w:w="2160"/>
      </w:tblGrid>
      <w:tr>
        <w:tc>
          <w:tcPr>
            <w:tcW w:type="dxa" w:w="2160"/>
            <w:shd w:fill="E0E0E0"/>
          </w:tcPr>
          <w:p>
            <w:pPr>
              <w:jc w:val="center"/>
            </w:pPr>
            <w:r>
              <w:rPr>
                <w:rFonts w:ascii="Arial" w:hAnsi="Arial" w:eastAsia="黑体"/>
                <w:b/>
                <w:sz w:val="22"/>
              </w:rPr>
              <w:t>子类别</w:t>
            </w:r>
          </w:p>
        </w:tc>
        <w:tc>
          <w:tcPr>
            <w:tcW w:type="dxa" w:w="1440"/>
            <w:shd w:fill="E0E0E0"/>
          </w:tcPr>
          <w:p>
            <w:pPr>
              <w:jc w:val="center"/>
            </w:pPr>
            <w:r>
              <w:rPr>
                <w:rFonts w:ascii="Arial" w:hAnsi="Arial" w:eastAsia="黑体"/>
                <w:b/>
                <w:sz w:val="22"/>
              </w:rPr>
              <w:t>覆盖情况</w:t>
            </w:r>
          </w:p>
        </w:tc>
        <w:tc>
          <w:tcPr>
            <w:tcW w:type="dxa" w:w="5040"/>
            <w:shd w:fill="E0E0E0"/>
          </w:tcPr>
          <w:p>
            <w:pPr>
              <w:jc w:val="center"/>
            </w:pPr>
            <w:r>
              <w:rPr>
                <w:rFonts w:ascii="Arial" w:hAnsi="Arial" w:eastAsia="黑体"/>
                <w:b/>
                <w:sz w:val="22"/>
              </w:rPr>
              <w:t>法规要求</w:t>
            </w:r>
          </w:p>
        </w:tc>
        <w:tc>
          <w:tcPr>
            <w:tcW w:type="dxa" w:w="3600"/>
            <w:shd w:fill="E0E0E0"/>
          </w:tcPr>
          <w:p>
            <w:pPr>
              <w:jc w:val="center"/>
            </w:pPr>
            <w:r>
              <w:rPr>
                <w:rFonts w:ascii="Arial" w:hAnsi="Arial" w:eastAsia="黑体"/>
                <w:b/>
                <w:sz w:val="22"/>
              </w:rPr>
              <w:t>关键条款/合规要点</w:t>
            </w:r>
          </w:p>
        </w:tc>
      </w:tr>
      <w:tr>
        <w:tc>
          <w:tcPr>
            <w:tcW w:type="dxa" w:w="2160"/>
            <w:vAlign w:val="top"/>
          </w:tcPr>
          <w:p>
            <w:pPr>
              <w:spacing w:after="60" w:before="60"/>
              <w:jc w:val="left"/>
            </w:pPr>
            <w:r>
              <w:rPr>
                <w:rFonts w:ascii="Times New Roman" w:hAnsi="Times New Roman" w:eastAsia="宋体"/>
                <w:sz w:val="20"/>
              </w:rPr>
              <w:t>海外全面风险管理基本制度</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要求企业必须客观评估自身条件和能力，深入研究投资目的地投资环境，积极稳妥开展境外投资并注意防范风险。企业需要建立突发事件预警机制和应急预案，落实人员和财产安全防范措施。同时，企业境外投资不得危害国家主权、安全和社会公共利益。法规强调了风险管理的基本原则，但未对具体的管理流程和角色职责作出详细规定。</w:t>
            </w:r>
          </w:p>
        </w:tc>
        <w:tc>
          <w:tcPr>
            <w:tcW w:type="dxa" w:w="3600"/>
            <w:vAlign w:val="top"/>
          </w:tcPr>
          <w:p>
            <w:pPr>
              <w:spacing w:after="60" w:before="60"/>
            </w:pPr>
            <w:r>
              <w:rPr>
                <w:rFonts w:ascii="Times New Roman" w:hAnsi="Times New Roman" w:eastAsia="宋体"/>
                <w:sz w:val="20"/>
              </w:rPr>
              <w:t>【关键条款】</w:t>
              <w:br/>
              <w:t>• 第十九条：客观评估自身条件、深入研究投资环境、注意防范风险</w:t>
              <w:br/>
              <w:t>• 第二十二条：建立突发事件预警机制和应急预案</w:t>
              <w:br/>
              <w:t>• 第四条：不得危害国家主权、安全和社会公共利益</w:t>
              <w:br/>
              <w:br/>
              <w:t>【合规要点】</w:t>
              <w:br/>
              <w:t>• 建立投资环境评估机制</w:t>
              <w:br/>
              <w:t>• 制定风险防范措施</w:t>
              <w:br/>
              <w:t>• 建立应急管理体系</w:t>
              <w:br/>
              <w:t>• 确保投资活动符合国家安全要求</w:t>
            </w:r>
          </w:p>
        </w:tc>
      </w:tr>
      <w:tr>
        <w:tc>
          <w:tcPr>
            <w:tcW w:type="dxa" w:w="2160"/>
            <w:vAlign w:val="top"/>
          </w:tcPr>
          <w:p>
            <w:pPr>
              <w:spacing w:after="60" w:before="60"/>
              <w:jc w:val="left"/>
            </w:pPr>
            <w:r>
              <w:rPr>
                <w:rFonts w:ascii="Times New Roman" w:hAnsi="Times New Roman" w:eastAsia="宋体"/>
                <w:sz w:val="20"/>
              </w:rPr>
              <w:t>风险偏好与容忍度政策</w:t>
            </w:r>
          </w:p>
        </w:tc>
        <w:tc>
          <w:tcPr>
            <w:tcW w:type="dxa" w:w="1440"/>
            <w:vAlign w:val="top"/>
          </w:tcPr>
          <w:p>
            <w:pPr>
              <w:spacing w:after="60" w:before="60"/>
              <w:jc w:val="center"/>
            </w:pPr>
            <w:r>
              <w:rPr>
                <w:rFonts w:ascii="Times New Roman" w:hAnsi="Times New Roman" w:eastAsia="宋体"/>
                <w:b/>
                <w:color w:val="FF0000"/>
                <w:sz w:val="20"/>
              </w:rPr>
              <w:t>未覆盖</w:t>
            </w:r>
          </w:p>
        </w:tc>
        <w:tc>
          <w:tcPr>
            <w:tcW w:type="dxa" w:w="5040"/>
            <w:vAlign w:val="top"/>
          </w:tcPr>
          <w:p>
            <w:pPr>
              <w:spacing w:after="60" w:before="60"/>
            </w:pPr>
            <w:r>
              <w:rPr>
                <w:rFonts w:ascii="Times New Roman" w:hAnsi="Times New Roman" w:eastAsia="宋体"/>
                <w:sz w:val="20"/>
              </w:rPr>
              <w:t>该法规对此子类别无相关要求。法规未涉及企业应如何设定风险偏好、风险容忍度、各类风险限额或红线指标等具体内容，也未要求建立相应的调整机制。</w:t>
            </w:r>
          </w:p>
        </w:tc>
        <w:tc>
          <w:tcPr>
            <w:tcW w:type="dxa" w:w="3600"/>
            <w:vAlign w:val="top"/>
          </w:tcPr>
          <w:p>
            <w:pPr>
              <w:spacing w:after="60" w:before="60"/>
            </w:pPr>
            <w:r>
              <w:rPr>
                <w:rFonts w:ascii="Times New Roman" w:hAnsi="Times New Roman" w:eastAsia="宋体"/>
                <w:sz w:val="20"/>
              </w:rPr>
              <w:t>无</w:t>
            </w:r>
          </w:p>
        </w:tc>
      </w:tr>
      <w:tr>
        <w:tc>
          <w:tcPr>
            <w:tcW w:type="dxa" w:w="2160"/>
            <w:vAlign w:val="top"/>
          </w:tcPr>
          <w:p>
            <w:pPr>
              <w:spacing w:after="60" w:before="60"/>
              <w:jc w:val="left"/>
            </w:pPr>
            <w:r>
              <w:rPr>
                <w:rFonts w:ascii="Times New Roman" w:hAnsi="Times New Roman" w:eastAsia="宋体"/>
                <w:sz w:val="20"/>
              </w:rPr>
              <w:t>风险识别评估与分级管理办法</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仅在第十九条中原则性地要求企业'注意防范风险'，这隐含了企业需要具备风险识别和评估的能力。但法规未对风险分级标准、评估矩阵、评估频次或工作底稿等具体技术要求作出规定，企业在实施时有较大的自主空间。</w:t>
            </w:r>
          </w:p>
        </w:tc>
        <w:tc>
          <w:tcPr>
            <w:tcW w:type="dxa" w:w="3600"/>
            <w:vAlign w:val="top"/>
          </w:tcPr>
          <w:p>
            <w:pPr>
              <w:spacing w:after="60" w:before="60"/>
            </w:pPr>
            <w:r>
              <w:rPr>
                <w:rFonts w:ascii="Times New Roman" w:hAnsi="Times New Roman" w:eastAsia="宋体"/>
                <w:sz w:val="20"/>
              </w:rPr>
              <w:t>【关键条款】</w:t>
              <w:br/>
              <w:t>• 第十九条：注意防范风险</w:t>
              <w:br/>
              <w:br/>
              <w:t>【合规要点】</w:t>
              <w:br/>
              <w:t>• 建立风险识别机制</w:t>
              <w:br/>
              <w:t>• 开展风险评估工作</w:t>
            </w:r>
          </w:p>
        </w:tc>
      </w:tr>
      <w:tr>
        <w:tc>
          <w:tcPr>
            <w:tcW w:type="dxa" w:w="2160"/>
            <w:vAlign w:val="top"/>
          </w:tcPr>
          <w:p>
            <w:pPr>
              <w:spacing w:after="60" w:before="60"/>
              <w:jc w:val="left"/>
            </w:pPr>
            <w:r>
              <w:rPr>
                <w:rFonts w:ascii="Times New Roman" w:hAnsi="Times New Roman" w:eastAsia="宋体"/>
                <w:sz w:val="20"/>
              </w:rPr>
              <w:t>风险监测预警与报告制度</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第二十四条要求企业向商务主管部门报告境外投资业务情况、统计资料以及相关困难和问题，建立了基本的信息报告制度。但法规未涉及具体的风险监测指标（KRI）、预警阈值、颜色灯号系统等技术性要求，仅强调了信息报送的真实性和准确性。</w:t>
            </w:r>
          </w:p>
        </w:tc>
        <w:tc>
          <w:tcPr>
            <w:tcW w:type="dxa" w:w="3600"/>
            <w:vAlign w:val="top"/>
          </w:tcPr>
          <w:p>
            <w:pPr>
              <w:spacing w:after="60" w:before="60"/>
            </w:pPr>
            <w:r>
              <w:rPr>
                <w:rFonts w:ascii="Times New Roman" w:hAnsi="Times New Roman" w:eastAsia="宋体"/>
                <w:sz w:val="20"/>
              </w:rPr>
              <w:t>【关键条款】</w:t>
              <w:br/>
              <w:t>• 第二十四条：向商务主管部门报告投资情况和相关问题</w:t>
              <w:br/>
              <w:br/>
              <w:t>【合规要点】</w:t>
              <w:br/>
              <w:t>• 建立定期报告机制</w:t>
              <w:br/>
              <w:t>• 确保报送信息真实准确</w:t>
              <w:br/>
              <w:t>• 及时报告困难和问题</w:t>
            </w:r>
          </w:p>
        </w:tc>
      </w:tr>
      <w:tr>
        <w:tc>
          <w:tcPr>
            <w:tcW w:type="dxa" w:w="2160"/>
            <w:vAlign w:val="top"/>
          </w:tcPr>
          <w:p>
            <w:pPr>
              <w:spacing w:after="60" w:before="60"/>
              <w:jc w:val="left"/>
            </w:pPr>
            <w:r>
              <w:rPr>
                <w:rFonts w:ascii="Times New Roman" w:hAnsi="Times New Roman" w:eastAsia="宋体"/>
                <w:sz w:val="20"/>
              </w:rPr>
              <w:t>风险应对与缓释措施管理办法</w:t>
            </w:r>
          </w:p>
        </w:tc>
        <w:tc>
          <w:tcPr>
            <w:tcW w:type="dxa" w:w="1440"/>
            <w:vAlign w:val="top"/>
          </w:tcPr>
          <w:p>
            <w:pPr>
              <w:spacing w:after="60" w:before="60"/>
              <w:jc w:val="center"/>
            </w:pPr>
            <w:r>
              <w:rPr>
                <w:rFonts w:ascii="Times New Roman" w:hAnsi="Times New Roman" w:eastAsia="宋体"/>
                <w:b/>
                <w:color w:val="FF0000"/>
                <w:sz w:val="20"/>
              </w:rPr>
              <w:t>未覆盖</w:t>
            </w:r>
          </w:p>
        </w:tc>
        <w:tc>
          <w:tcPr>
            <w:tcW w:type="dxa" w:w="5040"/>
            <w:vAlign w:val="top"/>
          </w:tcPr>
          <w:p>
            <w:pPr>
              <w:spacing w:after="60" w:before="60"/>
            </w:pPr>
            <w:r>
              <w:rPr>
                <w:rFonts w:ascii="Times New Roman" w:hAnsi="Times New Roman" w:eastAsia="宋体"/>
                <w:sz w:val="20"/>
              </w:rPr>
              <w:t>该法规对此子类别无相关要求。法规未涉及风险应对的具体策略选择（规避、减缓、转移、接受）、资源审批流程等内容，企业需根据自身情况制定相应的风险应对措施。</w:t>
            </w:r>
          </w:p>
        </w:tc>
        <w:tc>
          <w:tcPr>
            <w:tcW w:type="dxa" w:w="3600"/>
            <w:vAlign w:val="top"/>
          </w:tcPr>
          <w:p>
            <w:pPr>
              <w:spacing w:after="60" w:before="60"/>
            </w:pPr>
            <w:r>
              <w:rPr>
                <w:rFonts w:ascii="Times New Roman" w:hAnsi="Times New Roman" w:eastAsia="宋体"/>
                <w:sz w:val="20"/>
              </w:rPr>
              <w:t>无</w:t>
            </w:r>
          </w:p>
        </w:tc>
      </w:tr>
      <w:tr>
        <w:tc>
          <w:tcPr>
            <w:tcW w:type="dxa" w:w="2160"/>
            <w:vAlign w:val="top"/>
          </w:tcPr>
          <w:p>
            <w:pPr>
              <w:spacing w:after="60" w:before="60"/>
              <w:jc w:val="left"/>
            </w:pPr>
            <w:r>
              <w:rPr>
                <w:rFonts w:ascii="Times New Roman" w:hAnsi="Times New Roman" w:eastAsia="宋体"/>
                <w:sz w:val="20"/>
              </w:rPr>
              <w:t>风险事件管理与调查制度</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第二十二条要求企业建立突发事件预警机制和应急预案，这涉及到风险事件的管理。第二十六条规定商务部负责检查和指导境外投资管理情况，体现了监管层面的事件调查机制。但法规未对事件分级标准、内部调查程序、经验教训共享等具体要求作出规定。</w:t>
            </w:r>
          </w:p>
        </w:tc>
        <w:tc>
          <w:tcPr>
            <w:tcW w:type="dxa" w:w="3600"/>
            <w:vAlign w:val="top"/>
          </w:tcPr>
          <w:p>
            <w:pPr>
              <w:spacing w:after="60" w:before="60"/>
            </w:pPr>
            <w:r>
              <w:rPr>
                <w:rFonts w:ascii="Times New Roman" w:hAnsi="Times New Roman" w:eastAsia="宋体"/>
                <w:sz w:val="20"/>
              </w:rPr>
              <w:t>【关键条款】</w:t>
              <w:br/>
              <w:t>• 第二十二条：建立突发事件预警机制和应急预案</w:t>
              <w:br/>
              <w:t>• 第二十六条：商务部检查和指导投资管理情况</w:t>
              <w:br/>
              <w:br/>
              <w:t>【合规要点】</w:t>
              <w:br/>
              <w:t>• 制定应急预案</w:t>
              <w:br/>
              <w:t>• 建立预警机制</w:t>
              <w:br/>
              <w:t>• 配合监管部门检查</w:t>
            </w:r>
          </w:p>
        </w:tc>
      </w:tr>
      <w:tr>
        <w:tc>
          <w:tcPr>
            <w:tcW w:type="dxa" w:w="2160"/>
            <w:vAlign w:val="top"/>
          </w:tcPr>
          <w:p>
            <w:pPr>
              <w:spacing w:after="60" w:before="60"/>
              <w:jc w:val="left"/>
            </w:pPr>
            <w:r>
              <w:rPr>
                <w:rFonts w:ascii="Times New Roman" w:hAnsi="Times New Roman" w:eastAsia="宋体"/>
                <w:sz w:val="20"/>
              </w:rPr>
              <w:t>风险管理成熟度与绩效评估制度</w:t>
            </w:r>
          </w:p>
        </w:tc>
        <w:tc>
          <w:tcPr>
            <w:tcW w:type="dxa" w:w="1440"/>
            <w:vAlign w:val="top"/>
          </w:tcPr>
          <w:p>
            <w:pPr>
              <w:spacing w:after="60" w:before="60"/>
              <w:jc w:val="center"/>
            </w:pPr>
            <w:r>
              <w:rPr>
                <w:rFonts w:ascii="Times New Roman" w:hAnsi="Times New Roman" w:eastAsia="宋体"/>
                <w:b/>
                <w:color w:val="FF0000"/>
                <w:sz w:val="20"/>
              </w:rPr>
              <w:t>未覆盖</w:t>
            </w:r>
          </w:p>
        </w:tc>
        <w:tc>
          <w:tcPr>
            <w:tcW w:type="dxa" w:w="5040"/>
            <w:vAlign w:val="top"/>
          </w:tcPr>
          <w:p>
            <w:pPr>
              <w:spacing w:after="60" w:before="60"/>
            </w:pPr>
            <w:r>
              <w:rPr>
                <w:rFonts w:ascii="Times New Roman" w:hAnsi="Times New Roman" w:eastAsia="宋体"/>
                <w:sz w:val="20"/>
              </w:rPr>
              <w:t>该法规对此子类别无相关要求。法规未涉及风险管理成熟度评估模型、COSO要素评分、改进闭环等内容，企业可根据国际最佳实践自行建立相应的评估体系。</w:t>
            </w:r>
          </w:p>
        </w:tc>
        <w:tc>
          <w:tcPr>
            <w:tcW w:type="dxa" w:w="3600"/>
            <w:vAlign w:val="top"/>
          </w:tcPr>
          <w:p>
            <w:pPr>
              <w:spacing w:after="60" w:before="60"/>
            </w:pPr>
            <w:r>
              <w:rPr>
                <w:rFonts w:ascii="Times New Roman" w:hAnsi="Times New Roman" w:eastAsia="宋体"/>
                <w:sz w:val="20"/>
              </w:rPr>
              <w:t>无</w:t>
            </w:r>
          </w:p>
        </w:tc>
      </w:tr>
    </w:tbl>
    <w:p>
      <w:pPr>
        <w:pStyle w:val="Heading2"/>
      </w:pPr>
      <w:r>
        <w:t>合规措施建议</w:t>
      </w:r>
    </w:p>
    <w:p>
      <w:pPr>
        <w:spacing w:after="240"/>
        <w:ind w:firstLine="720"/>
      </w:pPr>
      <w:r>
        <w:t>企业应重点建立三个层面的风险管理体系：一是建立投资前的风险评估机制，深入研究投资环境，评估自身能力；二是建立投资中的风险监控体系，包括突发事件预警、应急预案和安全防范措施；三是建立与监管部门的信息沟通机制，定期报告投资情况和问题。虽然法规未对风险偏好、风险分级、绩效评估等技术细节作出要求，但企业仍应参考国际标准建立完整的风险管理框架，确保境外投资的稳健开展。</w:t>
      </w:r>
    </w:p>
    <w:p/>
    <w:p/>
    <w:p>
      <w:pPr>
        <w:pStyle w:val="Heading1"/>
      </w:pPr>
      <w:r>
        <w:t>三、合规与法律</w:t>
      </w:r>
    </w:p>
    <w:p>
      <w:pPr>
        <w:pStyle w:val="Heading2"/>
      </w:pPr>
      <w:r>
        <w:t>大类法规要求概述</w:t>
      </w:r>
    </w:p>
    <w:p>
      <w:pPr>
        <w:spacing w:after="240"/>
        <w:ind w:firstLine="720"/>
      </w:pPr>
      <w:r>
        <w:t>该法规对企业境外投资的合规管理提出了框架性要求，重点强调了国家安全、法律法规遵守和国际条约履行。法规要求企业建立风险评估机制，特别关注出口管制合规，并要求定期向商务部门报告投资情况。虽然法规未对反腐败、数据保护、竞争法等具体合规领域做出详细规定，但明确了企业必须遵守投资目的地法律法规的总体原则。法规还强调了企业在投资前进行充分尽职调查的重要性，并对违规行为设定了明确的处罚措施，包括撤销备案核准、警告公布和三年内不得享受政策支持等。</w:t>
      </w:r>
    </w:p>
    <w:p>
      <w:pPr>
        <w:pStyle w:val="Heading2"/>
      </w:pPr>
      <w:r>
        <w:t>子类别法规要求分析</w:t>
      </w:r>
    </w:p>
    <w:tbl>
      <w:tblPr>
        <w:tblStyle w:val="LightGrid-Accent1"/>
        <w:tblW w:type="auto" w:w="0"/>
        <w:tblLayout w:type="autofit"/>
        <w:tblLook w:firstColumn="1" w:firstRow="1" w:lastColumn="0" w:lastRow="0" w:noHBand="0" w:noVBand="1" w:val="04A0"/>
      </w:tblPr>
      <w:tblGrid>
        <w:gridCol w:w="2160"/>
        <w:gridCol w:w="2160"/>
        <w:gridCol w:w="2160"/>
        <w:gridCol w:w="2160"/>
      </w:tblGrid>
      <w:tr>
        <w:tc>
          <w:tcPr>
            <w:tcW w:type="dxa" w:w="2160"/>
            <w:shd w:fill="E0E0E0"/>
          </w:tcPr>
          <w:p>
            <w:pPr>
              <w:jc w:val="center"/>
            </w:pPr>
            <w:r>
              <w:rPr>
                <w:rFonts w:ascii="Arial" w:hAnsi="Arial" w:eastAsia="黑体"/>
                <w:b/>
                <w:sz w:val="22"/>
              </w:rPr>
              <w:t>子类别</w:t>
            </w:r>
          </w:p>
        </w:tc>
        <w:tc>
          <w:tcPr>
            <w:tcW w:type="dxa" w:w="1440"/>
            <w:shd w:fill="E0E0E0"/>
          </w:tcPr>
          <w:p>
            <w:pPr>
              <w:jc w:val="center"/>
            </w:pPr>
            <w:r>
              <w:rPr>
                <w:rFonts w:ascii="Arial" w:hAnsi="Arial" w:eastAsia="黑体"/>
                <w:b/>
                <w:sz w:val="22"/>
              </w:rPr>
              <w:t>覆盖情况</w:t>
            </w:r>
          </w:p>
        </w:tc>
        <w:tc>
          <w:tcPr>
            <w:tcW w:type="dxa" w:w="5040"/>
            <w:shd w:fill="E0E0E0"/>
          </w:tcPr>
          <w:p>
            <w:pPr>
              <w:jc w:val="center"/>
            </w:pPr>
            <w:r>
              <w:rPr>
                <w:rFonts w:ascii="Arial" w:hAnsi="Arial" w:eastAsia="黑体"/>
                <w:b/>
                <w:sz w:val="22"/>
              </w:rPr>
              <w:t>法规要求</w:t>
            </w:r>
          </w:p>
        </w:tc>
        <w:tc>
          <w:tcPr>
            <w:tcW w:type="dxa" w:w="3600"/>
            <w:shd w:fill="E0E0E0"/>
          </w:tcPr>
          <w:p>
            <w:pPr>
              <w:jc w:val="center"/>
            </w:pPr>
            <w:r>
              <w:rPr>
                <w:rFonts w:ascii="Arial" w:hAnsi="Arial" w:eastAsia="黑体"/>
                <w:b/>
                <w:sz w:val="22"/>
              </w:rPr>
              <w:t>关键条款/合规要点</w:t>
            </w:r>
          </w:p>
        </w:tc>
      </w:tr>
      <w:tr>
        <w:tc>
          <w:tcPr>
            <w:tcW w:type="dxa" w:w="2160"/>
            <w:vAlign w:val="top"/>
          </w:tcPr>
          <w:p>
            <w:pPr>
              <w:spacing w:after="60" w:before="60"/>
              <w:jc w:val="left"/>
            </w:pPr>
            <w:r>
              <w:rPr>
                <w:rFonts w:ascii="Times New Roman" w:hAnsi="Times New Roman" w:eastAsia="宋体"/>
                <w:sz w:val="20"/>
              </w:rPr>
              <w:t>全球合规管理体系文件（ISO 37301 对标）</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要求企业境外投资不得危害国家主权、安全和社会公共利益，不得违反国内法律法规、国际条约协定。企业需在投资前进行合规风险评估，深入研究投资环境，并建立向商务部门定期报告的机制。虽未明确要求建立ISO 37301标准的合规管理体系，但提出了合规风险评估、监测和报告的基本要求。</w:t>
            </w:r>
          </w:p>
        </w:tc>
        <w:tc>
          <w:tcPr>
            <w:tcW w:type="dxa" w:w="3600"/>
            <w:vAlign w:val="top"/>
          </w:tcPr>
          <w:p>
            <w:pPr>
              <w:spacing w:after="60" w:before="60"/>
            </w:pPr>
            <w:r>
              <w:rPr>
                <w:rFonts w:ascii="Times New Roman" w:hAnsi="Times New Roman" w:eastAsia="宋体"/>
                <w:sz w:val="20"/>
              </w:rPr>
              <w:t>【关键条款】</w:t>
              <w:br/>
              <w:t>• 第四条：不得危害国家主权、安全和社会公共利益</w:t>
              <w:br/>
              <w:t>• 第十九条：客观评估自身条件、深入研究投资环境</w:t>
              <w:br/>
              <w:t>• 第二十四条：向商务主管部门报告境外投资业务情况</w:t>
              <w:br/>
              <w:br/>
              <w:t>【合规要点】</w:t>
              <w:br/>
              <w:t>• 建立合规风险评估机制</w:t>
              <w:br/>
              <w:t>• 确保投资符合国内外法律法规</w:t>
              <w:br/>
              <w:t>• 定期向商务部门报告投资情况</w:t>
            </w:r>
          </w:p>
        </w:tc>
      </w:tr>
      <w:tr>
        <w:tc>
          <w:tcPr>
            <w:tcW w:type="dxa" w:w="2160"/>
            <w:vAlign w:val="top"/>
          </w:tcPr>
          <w:p>
            <w:pPr>
              <w:spacing w:after="60" w:before="60"/>
              <w:jc w:val="left"/>
            </w:pPr>
            <w:r>
              <w:rPr>
                <w:rFonts w:ascii="Times New Roman" w:hAnsi="Times New Roman" w:eastAsia="宋体"/>
                <w:sz w:val="20"/>
              </w:rPr>
              <w:t>反腐败与反贿赂政策</w:t>
            </w:r>
          </w:p>
        </w:tc>
        <w:tc>
          <w:tcPr>
            <w:tcW w:type="dxa" w:w="1440"/>
            <w:vAlign w:val="top"/>
          </w:tcPr>
          <w:p>
            <w:pPr>
              <w:spacing w:after="60" w:before="60"/>
              <w:jc w:val="center"/>
            </w:pPr>
            <w:r>
              <w:rPr>
                <w:rFonts w:ascii="Times New Roman" w:hAnsi="Times New Roman" w:eastAsia="宋体"/>
                <w:b/>
                <w:color w:val="FF0000"/>
                <w:sz w:val="20"/>
              </w:rPr>
              <w:t>未覆盖</w:t>
            </w:r>
          </w:p>
        </w:tc>
        <w:tc>
          <w:tcPr>
            <w:tcW w:type="dxa" w:w="5040"/>
            <w:vAlign w:val="top"/>
          </w:tcPr>
          <w:p>
            <w:pPr>
              <w:spacing w:after="60" w:before="60"/>
            </w:pPr>
            <w:r>
              <w:rPr>
                <w:rFonts w:ascii="Times New Roman" w:hAnsi="Times New Roman" w:eastAsia="宋体"/>
                <w:sz w:val="20"/>
              </w:rPr>
              <w:t>该法规对此子类别无相关要求。法规未对企业在境外投资中的反腐败和反贿赂行为做出具体规定，也未涉及禁止行为清单、礼品待客标准或举报渠道等反腐败合规要素。</w:t>
            </w:r>
          </w:p>
        </w:tc>
        <w:tc>
          <w:tcPr>
            <w:tcW w:type="dxa" w:w="3600"/>
            <w:vAlign w:val="top"/>
          </w:tcPr>
          <w:p>
            <w:pPr>
              <w:spacing w:after="60" w:before="60"/>
            </w:pPr>
            <w:r>
              <w:rPr>
                <w:rFonts w:ascii="Times New Roman" w:hAnsi="Times New Roman" w:eastAsia="宋体"/>
                <w:sz w:val="20"/>
              </w:rPr>
              <w:t>无</w:t>
            </w:r>
          </w:p>
        </w:tc>
      </w:tr>
      <w:tr>
        <w:tc>
          <w:tcPr>
            <w:tcW w:type="dxa" w:w="2160"/>
            <w:vAlign w:val="top"/>
          </w:tcPr>
          <w:p>
            <w:pPr>
              <w:spacing w:after="60" w:before="60"/>
              <w:jc w:val="left"/>
            </w:pPr>
            <w:r>
              <w:rPr>
                <w:rFonts w:ascii="Times New Roman" w:hAnsi="Times New Roman" w:eastAsia="宋体"/>
                <w:sz w:val="20"/>
              </w:rPr>
              <w:t>贸易制裁与出口管制合规指引</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明确规定涉及出口限制产品和技术的境外投资项目需实行核准管理。企业必须在申请核准时提供相关部门准予出口的证明材料，不得出口中国禁止出口的产品和技术。虽然法规涉及出口管制要求，但未涉及制裁名单筛查、双用途物项具体管控措施等内容。</w:t>
            </w:r>
          </w:p>
        </w:tc>
        <w:tc>
          <w:tcPr>
            <w:tcW w:type="dxa" w:w="3600"/>
            <w:vAlign w:val="top"/>
          </w:tcPr>
          <w:p>
            <w:pPr>
              <w:spacing w:after="60" w:before="60"/>
            </w:pPr>
            <w:r>
              <w:rPr>
                <w:rFonts w:ascii="Times New Roman" w:hAnsi="Times New Roman" w:eastAsia="宋体"/>
                <w:sz w:val="20"/>
              </w:rPr>
              <w:t>【关键条款】</w:t>
              <w:br/>
              <w:t>• 第四条：不得出口中华人民共和国禁止出口的产品和技术</w:t>
              <w:br/>
              <w:t>• 第七条：涉及出口限制产品和技术的行业实行核准管理</w:t>
              <w:br/>
              <w:t>• 第十条第四项：需提供限制出口产品或技术准予出口的材料</w:t>
              <w:br/>
              <w:br/>
              <w:t>【合规要点】</w:t>
              <w:br/>
              <w:t>• 识别投资项目涉及的限制出口产品和技术</w:t>
              <w:br/>
              <w:t>• 获得相关出口许可证明</w:t>
              <w:br/>
              <w:t>• 在核准申请时提供完整的出口合规材料</w:t>
            </w:r>
          </w:p>
        </w:tc>
      </w:tr>
      <w:tr>
        <w:tc>
          <w:tcPr>
            <w:tcW w:type="dxa" w:w="2160"/>
            <w:vAlign w:val="top"/>
          </w:tcPr>
          <w:p>
            <w:pPr>
              <w:spacing w:after="60" w:before="60"/>
              <w:jc w:val="left"/>
            </w:pPr>
            <w:r>
              <w:rPr>
                <w:rFonts w:ascii="Times New Roman" w:hAnsi="Times New Roman" w:eastAsia="宋体"/>
                <w:sz w:val="20"/>
              </w:rPr>
              <w:t>数据保护与隐私合规制度</w:t>
            </w:r>
          </w:p>
        </w:tc>
        <w:tc>
          <w:tcPr>
            <w:tcW w:type="dxa" w:w="1440"/>
            <w:vAlign w:val="top"/>
          </w:tcPr>
          <w:p>
            <w:pPr>
              <w:spacing w:after="60" w:before="60"/>
              <w:jc w:val="center"/>
            </w:pPr>
            <w:r>
              <w:rPr>
                <w:rFonts w:ascii="Times New Roman" w:hAnsi="Times New Roman" w:eastAsia="宋体"/>
                <w:b/>
                <w:color w:val="FF0000"/>
                <w:sz w:val="20"/>
              </w:rPr>
              <w:t>未覆盖</w:t>
            </w:r>
          </w:p>
        </w:tc>
        <w:tc>
          <w:tcPr>
            <w:tcW w:type="dxa" w:w="5040"/>
            <w:vAlign w:val="top"/>
          </w:tcPr>
          <w:p>
            <w:pPr>
              <w:spacing w:after="60" w:before="60"/>
            </w:pPr>
            <w:r>
              <w:rPr>
                <w:rFonts w:ascii="Times New Roman" w:hAnsi="Times New Roman" w:eastAsia="宋体"/>
                <w:sz w:val="20"/>
              </w:rPr>
              <w:t>该法规对此子类别无相关要求。法规未涉及个人信息保护、数据跨境传输、数据主体权利等数据保护和隐私合规相关内容。</w:t>
            </w:r>
          </w:p>
        </w:tc>
        <w:tc>
          <w:tcPr>
            <w:tcW w:type="dxa" w:w="3600"/>
            <w:vAlign w:val="top"/>
          </w:tcPr>
          <w:p>
            <w:pPr>
              <w:spacing w:after="60" w:before="60"/>
            </w:pPr>
            <w:r>
              <w:rPr>
                <w:rFonts w:ascii="Times New Roman" w:hAnsi="Times New Roman" w:eastAsia="宋体"/>
                <w:sz w:val="20"/>
              </w:rPr>
              <w:t>无</w:t>
            </w:r>
          </w:p>
        </w:tc>
      </w:tr>
      <w:tr>
        <w:tc>
          <w:tcPr>
            <w:tcW w:type="dxa" w:w="2160"/>
            <w:vAlign w:val="top"/>
          </w:tcPr>
          <w:p>
            <w:pPr>
              <w:spacing w:after="60" w:before="60"/>
              <w:jc w:val="left"/>
            </w:pPr>
            <w:r>
              <w:rPr>
                <w:rFonts w:ascii="Times New Roman" w:hAnsi="Times New Roman" w:eastAsia="宋体"/>
                <w:sz w:val="20"/>
              </w:rPr>
              <w:t>竞争法与反垄断合规指引</w:t>
            </w:r>
          </w:p>
        </w:tc>
        <w:tc>
          <w:tcPr>
            <w:tcW w:type="dxa" w:w="1440"/>
            <w:vAlign w:val="top"/>
          </w:tcPr>
          <w:p>
            <w:pPr>
              <w:spacing w:after="60" w:before="60"/>
              <w:jc w:val="center"/>
            </w:pPr>
            <w:r>
              <w:rPr>
                <w:rFonts w:ascii="Times New Roman" w:hAnsi="Times New Roman" w:eastAsia="宋体"/>
                <w:b/>
                <w:color w:val="FF0000"/>
                <w:sz w:val="20"/>
              </w:rPr>
              <w:t>未覆盖</w:t>
            </w:r>
          </w:p>
        </w:tc>
        <w:tc>
          <w:tcPr>
            <w:tcW w:type="dxa" w:w="5040"/>
            <w:vAlign w:val="top"/>
          </w:tcPr>
          <w:p>
            <w:pPr>
              <w:spacing w:after="60" w:before="60"/>
            </w:pPr>
            <w:r>
              <w:rPr>
                <w:rFonts w:ascii="Times New Roman" w:hAnsi="Times New Roman" w:eastAsia="宋体"/>
                <w:sz w:val="20"/>
              </w:rPr>
              <w:t>该法规对此子类别无相关要求。法规未对企业在境外投资中的竞争行为、垄断协议、信息交换等反垄断合规事项做出规定。</w:t>
            </w:r>
          </w:p>
        </w:tc>
        <w:tc>
          <w:tcPr>
            <w:tcW w:type="dxa" w:w="3600"/>
            <w:vAlign w:val="top"/>
          </w:tcPr>
          <w:p>
            <w:pPr>
              <w:spacing w:after="60" w:before="60"/>
            </w:pPr>
            <w:r>
              <w:rPr>
                <w:rFonts w:ascii="Times New Roman" w:hAnsi="Times New Roman" w:eastAsia="宋体"/>
                <w:sz w:val="20"/>
              </w:rPr>
              <w:t>无</w:t>
            </w:r>
          </w:p>
        </w:tc>
      </w:tr>
      <w:tr>
        <w:tc>
          <w:tcPr>
            <w:tcW w:type="dxa" w:w="2160"/>
            <w:vAlign w:val="top"/>
          </w:tcPr>
          <w:p>
            <w:pPr>
              <w:spacing w:after="60" w:before="60"/>
              <w:jc w:val="left"/>
            </w:pPr>
            <w:r>
              <w:rPr>
                <w:rFonts w:ascii="Times New Roman" w:hAnsi="Times New Roman" w:eastAsia="宋体"/>
                <w:sz w:val="20"/>
              </w:rPr>
              <w:t>第三方尽职调查和诚信审查程序</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要求企业在境外投资前客观评估自身条件和能力，深入研究投资目的地投资环境，积极稳妥开展投资并防范风险。虽然提出了投资前调查评估的原则性要求，但未涉及具体的第三方风险评分模型、分层尽调标准或持续监控机制。</w:t>
            </w:r>
          </w:p>
        </w:tc>
        <w:tc>
          <w:tcPr>
            <w:tcW w:type="dxa" w:w="3600"/>
            <w:vAlign w:val="top"/>
          </w:tcPr>
          <w:p>
            <w:pPr>
              <w:spacing w:after="60" w:before="60"/>
            </w:pPr>
            <w:r>
              <w:rPr>
                <w:rFonts w:ascii="Times New Roman" w:hAnsi="Times New Roman" w:eastAsia="宋体"/>
                <w:sz w:val="20"/>
              </w:rPr>
              <w:t>【关键条款】</w:t>
              <w:br/>
              <w:t>• 第十九条：客观评估自身条件、深入研究投资目的地投资环境</w:t>
              <w:br/>
              <w:br/>
              <w:t>【合规要点】</w:t>
              <w:br/>
              <w:t>• 投资前进行充分的尽职调查</w:t>
              <w:br/>
              <w:t>• 评估投资目的地的投资环境和风险</w:t>
            </w:r>
          </w:p>
        </w:tc>
      </w:tr>
    </w:tbl>
    <w:p>
      <w:pPr>
        <w:pStyle w:val="Heading2"/>
      </w:pPr>
      <w:r>
        <w:t>合规措施建议</w:t>
      </w:r>
    </w:p>
    <w:p>
      <w:pPr>
        <w:spacing w:after="240"/>
        <w:ind w:firstLine="720"/>
      </w:pPr>
      <w:r>
        <w:t>企业应建立覆盖境外投资全流程的合规管理体系，重点关注国家安全、出口管制等强制性要求。建议制定合规风险评估程序，在投资决策前充分评估法律风险。对于涉及限制出口产品技术的项目，必须提前获得出口许可。同时应建立信息报送机制，确保向商务部门及时准确报告。虽然法规未详细规定反腐败、数据保护等具体合规要求，但企业仍应根据投资目的地法律和国际最佳实践，建立相应的合规制度。</w:t>
      </w:r>
    </w:p>
    <w:p/>
    <w:p/>
    <w:p>
      <w:pPr>
        <w:pStyle w:val="Heading1"/>
      </w:pPr>
      <w:r>
        <w:t>四、财务与市场风险</w:t>
      </w:r>
    </w:p>
    <w:p>
      <w:pPr>
        <w:pStyle w:val="Heading2"/>
      </w:pPr>
      <w:r>
        <w:t>大类法规要求概述</w:t>
      </w:r>
    </w:p>
    <w:p>
      <w:pPr>
        <w:spacing w:after="240"/>
        <w:ind w:firstLine="720"/>
      </w:pPr>
      <w:r>
        <w:t>该法规对财务与市场风险管理的直接要求较为有限，主要体现在企业境外投资的自主决策和风险自担原则上。法规第三条明确规定企业开展境外投资需'依法自主决策、自负盈亏'，这意味着企业必须对境外投资的财务风险承担完全责任。虽然法规未对外汇风险、商品价格对冲、资金流动性等具体财务风险管理措施提出明确要求，但强调了企业在境外投资过程中的风险责任主体地位。这种原则性规定要求企业必须建立健全的财务风险管理体系，以确保能够有效识别、评估和控制境外投资中的各类财务与市场风险。</w:t>
      </w:r>
    </w:p>
    <w:p>
      <w:pPr>
        <w:pStyle w:val="Heading2"/>
      </w:pPr>
      <w:r>
        <w:t>子类别法规要求分析</w:t>
      </w:r>
    </w:p>
    <w:tbl>
      <w:tblPr>
        <w:tblStyle w:val="LightGrid-Accent1"/>
        <w:tblW w:type="auto" w:w="0"/>
        <w:tblLayout w:type="autofit"/>
        <w:tblLook w:firstColumn="1" w:firstRow="1" w:lastColumn="0" w:lastRow="0" w:noHBand="0" w:noVBand="1" w:val="04A0"/>
      </w:tblPr>
      <w:tblGrid>
        <w:gridCol w:w="2160"/>
        <w:gridCol w:w="2160"/>
        <w:gridCol w:w="2160"/>
        <w:gridCol w:w="2160"/>
      </w:tblGrid>
      <w:tr>
        <w:tc>
          <w:tcPr>
            <w:tcW w:type="dxa" w:w="2160"/>
            <w:shd w:fill="E0E0E0"/>
          </w:tcPr>
          <w:p>
            <w:pPr>
              <w:jc w:val="center"/>
            </w:pPr>
            <w:r>
              <w:rPr>
                <w:rFonts w:ascii="Arial" w:hAnsi="Arial" w:eastAsia="黑体"/>
                <w:b/>
                <w:sz w:val="22"/>
              </w:rPr>
              <w:t>子类别</w:t>
            </w:r>
          </w:p>
        </w:tc>
        <w:tc>
          <w:tcPr>
            <w:tcW w:type="dxa" w:w="1440"/>
            <w:shd w:fill="E0E0E0"/>
          </w:tcPr>
          <w:p>
            <w:pPr>
              <w:jc w:val="center"/>
            </w:pPr>
            <w:r>
              <w:rPr>
                <w:rFonts w:ascii="Arial" w:hAnsi="Arial" w:eastAsia="黑体"/>
                <w:b/>
                <w:sz w:val="22"/>
              </w:rPr>
              <w:t>覆盖情况</w:t>
            </w:r>
          </w:p>
        </w:tc>
        <w:tc>
          <w:tcPr>
            <w:tcW w:type="dxa" w:w="5040"/>
            <w:shd w:fill="E0E0E0"/>
          </w:tcPr>
          <w:p>
            <w:pPr>
              <w:jc w:val="center"/>
            </w:pPr>
            <w:r>
              <w:rPr>
                <w:rFonts w:ascii="Arial" w:hAnsi="Arial" w:eastAsia="黑体"/>
                <w:b/>
                <w:sz w:val="22"/>
              </w:rPr>
              <w:t>法规要求</w:t>
            </w:r>
          </w:p>
        </w:tc>
        <w:tc>
          <w:tcPr>
            <w:tcW w:type="dxa" w:w="3600"/>
            <w:shd w:fill="E0E0E0"/>
          </w:tcPr>
          <w:p>
            <w:pPr>
              <w:jc w:val="center"/>
            </w:pPr>
            <w:r>
              <w:rPr>
                <w:rFonts w:ascii="Arial" w:hAnsi="Arial" w:eastAsia="黑体"/>
                <w:b/>
                <w:sz w:val="22"/>
              </w:rPr>
              <w:t>关键条款/合规要点</w:t>
            </w:r>
          </w:p>
        </w:tc>
      </w:tr>
      <w:tr>
        <w:tc>
          <w:tcPr>
            <w:tcW w:type="dxa" w:w="2160"/>
            <w:vAlign w:val="top"/>
          </w:tcPr>
          <w:p>
            <w:pPr>
              <w:spacing w:after="60" w:before="60"/>
              <w:jc w:val="left"/>
            </w:pPr>
            <w:r>
              <w:rPr>
                <w:rFonts w:ascii="Times New Roman" w:hAnsi="Times New Roman" w:eastAsia="宋体"/>
                <w:sz w:val="20"/>
              </w:rPr>
              <w:t>外汇风险管理政策</w:t>
            </w:r>
          </w:p>
        </w:tc>
        <w:tc>
          <w:tcPr>
            <w:tcW w:type="dxa" w:w="1440"/>
            <w:vAlign w:val="top"/>
          </w:tcPr>
          <w:p>
            <w:pPr>
              <w:spacing w:after="60" w:before="60"/>
              <w:jc w:val="center"/>
            </w:pPr>
            <w:r>
              <w:rPr>
                <w:rFonts w:ascii="Times New Roman" w:hAnsi="Times New Roman" w:eastAsia="宋体"/>
                <w:b/>
                <w:color w:val="FF0000"/>
                <w:sz w:val="20"/>
              </w:rPr>
              <w:t>未覆盖</w:t>
            </w:r>
          </w:p>
        </w:tc>
        <w:tc>
          <w:tcPr>
            <w:tcW w:type="dxa" w:w="5040"/>
            <w:vAlign w:val="top"/>
          </w:tcPr>
          <w:p>
            <w:pPr>
              <w:spacing w:after="60" w:before="60"/>
            </w:pPr>
            <w:r>
              <w:rPr>
                <w:rFonts w:ascii="Times New Roman" w:hAnsi="Times New Roman" w:eastAsia="宋体"/>
                <w:sz w:val="20"/>
              </w:rPr>
              <w:t>该法规对此子类别无相关要求。法规未涉及外汇风险管理的具体规定，包括敞口识别、套保工具使用或VAR监控等方面的要求。企业在境外投资中的外汇风险管理完全由企业根据自身情况和市场环境自主决定。</w:t>
            </w:r>
          </w:p>
        </w:tc>
        <w:tc>
          <w:tcPr>
            <w:tcW w:type="dxa" w:w="3600"/>
            <w:vAlign w:val="top"/>
          </w:tcPr>
          <w:p>
            <w:pPr>
              <w:spacing w:after="60" w:before="60"/>
            </w:pPr>
            <w:r>
              <w:rPr>
                <w:rFonts w:ascii="Times New Roman" w:hAnsi="Times New Roman" w:eastAsia="宋体"/>
                <w:sz w:val="20"/>
              </w:rPr>
              <w:t>【合规要点】</w:t>
              <w:br/>
              <w:t>• 企业应自主建立外汇风险管理机制</w:t>
              <w:br/>
              <w:t>• 根据境外投资特点制定相应的外汇风险控制措施</w:t>
            </w:r>
          </w:p>
        </w:tc>
      </w:tr>
      <w:tr>
        <w:tc>
          <w:tcPr>
            <w:tcW w:type="dxa" w:w="2160"/>
            <w:vAlign w:val="top"/>
          </w:tcPr>
          <w:p>
            <w:pPr>
              <w:spacing w:after="60" w:before="60"/>
              <w:jc w:val="left"/>
            </w:pPr>
            <w:r>
              <w:rPr>
                <w:rFonts w:ascii="Times New Roman" w:hAnsi="Times New Roman" w:eastAsia="宋体"/>
                <w:sz w:val="20"/>
              </w:rPr>
              <w:t>商品价格对冲管理办法</w:t>
            </w:r>
          </w:p>
        </w:tc>
        <w:tc>
          <w:tcPr>
            <w:tcW w:type="dxa" w:w="1440"/>
            <w:vAlign w:val="top"/>
          </w:tcPr>
          <w:p>
            <w:pPr>
              <w:spacing w:after="60" w:before="60"/>
              <w:jc w:val="center"/>
            </w:pPr>
            <w:r>
              <w:rPr>
                <w:rFonts w:ascii="Times New Roman" w:hAnsi="Times New Roman" w:eastAsia="宋体"/>
                <w:b/>
                <w:color w:val="FF0000"/>
                <w:sz w:val="20"/>
              </w:rPr>
              <w:t>未覆盖</w:t>
            </w:r>
          </w:p>
        </w:tc>
        <w:tc>
          <w:tcPr>
            <w:tcW w:type="dxa" w:w="5040"/>
            <w:vAlign w:val="top"/>
          </w:tcPr>
          <w:p>
            <w:pPr>
              <w:spacing w:after="60" w:before="60"/>
            </w:pPr>
            <w:r>
              <w:rPr>
                <w:rFonts w:ascii="Times New Roman" w:hAnsi="Times New Roman" w:eastAsia="宋体"/>
                <w:sz w:val="20"/>
              </w:rPr>
              <w:t>该法规对此子类别无相关要求。法规未对商品价格对冲管理提出任何具体规定，包括套期保值策略、对冲授权或绩效评估等方面。企业需根据自身业务特点和风险承受能力自主制定商品价格风险管理策略。</w:t>
            </w:r>
          </w:p>
        </w:tc>
        <w:tc>
          <w:tcPr>
            <w:tcW w:type="dxa" w:w="3600"/>
            <w:vAlign w:val="top"/>
          </w:tcPr>
          <w:p>
            <w:pPr>
              <w:spacing w:after="60" w:before="60"/>
            </w:pPr>
            <w:r>
              <w:rPr>
                <w:rFonts w:ascii="Times New Roman" w:hAnsi="Times New Roman" w:eastAsia="宋体"/>
                <w:sz w:val="20"/>
              </w:rPr>
              <w:t>【合规要点】</w:t>
              <w:br/>
              <w:t>• 企业可根据业务需要自主制定商品价格对冲策略</w:t>
              <w:br/>
              <w:t>• 建议建立与境外投资项目相匹配的价格风险管理机制</w:t>
            </w:r>
          </w:p>
        </w:tc>
      </w:tr>
      <w:tr>
        <w:tc>
          <w:tcPr>
            <w:tcW w:type="dxa" w:w="2160"/>
            <w:vAlign w:val="top"/>
          </w:tcPr>
          <w:p>
            <w:pPr>
              <w:spacing w:after="60" w:before="60"/>
              <w:jc w:val="left"/>
            </w:pPr>
            <w:r>
              <w:rPr>
                <w:rFonts w:ascii="Times New Roman" w:hAnsi="Times New Roman" w:eastAsia="宋体"/>
                <w:sz w:val="20"/>
              </w:rPr>
              <w:t>信用风险管理制度</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第三条规定企业开展境外投资需'依法自主决策、自负盈亏'，这间接要求企业必须对境外投资中的信用风险承担完全责任。虽然法规未对客户评级模型、授信限额或坏账准备等具体措施提出要求，但明确了企业的风险责任主体地位。</w:t>
            </w:r>
          </w:p>
        </w:tc>
        <w:tc>
          <w:tcPr>
            <w:tcW w:type="dxa" w:w="3600"/>
            <w:vAlign w:val="top"/>
          </w:tcPr>
          <w:p>
            <w:pPr>
              <w:spacing w:after="60" w:before="60"/>
            </w:pPr>
            <w:r>
              <w:rPr>
                <w:rFonts w:ascii="Times New Roman" w:hAnsi="Times New Roman" w:eastAsia="宋体"/>
                <w:sz w:val="20"/>
              </w:rPr>
              <w:t>【关键条款】</w:t>
              <w:br/>
              <w:t>• 第三条：企业开展境外投资，依法自主决策、自负盈亏</w:t>
              <w:br/>
              <w:br/>
              <w:t>【合规要点】</w:t>
              <w:br/>
              <w:t>• 企业需自行承担境外投资的信用风险和损失</w:t>
              <w:br/>
              <w:t>• 建立与境外投资相适应的信用风险管理体系</w:t>
            </w:r>
          </w:p>
        </w:tc>
      </w:tr>
      <w:tr>
        <w:tc>
          <w:tcPr>
            <w:tcW w:type="dxa" w:w="2160"/>
            <w:vAlign w:val="top"/>
          </w:tcPr>
          <w:p>
            <w:pPr>
              <w:spacing w:after="60" w:before="60"/>
              <w:jc w:val="left"/>
            </w:pPr>
            <w:r>
              <w:rPr>
                <w:rFonts w:ascii="Times New Roman" w:hAnsi="Times New Roman" w:eastAsia="宋体"/>
                <w:sz w:val="20"/>
              </w:rPr>
              <w:t>资金集中与流动性管理办法</w:t>
            </w:r>
          </w:p>
        </w:tc>
        <w:tc>
          <w:tcPr>
            <w:tcW w:type="dxa" w:w="1440"/>
            <w:vAlign w:val="top"/>
          </w:tcPr>
          <w:p>
            <w:pPr>
              <w:spacing w:after="60" w:before="60"/>
              <w:jc w:val="center"/>
            </w:pPr>
            <w:r>
              <w:rPr>
                <w:rFonts w:ascii="Times New Roman" w:hAnsi="Times New Roman" w:eastAsia="宋体"/>
                <w:b/>
                <w:color w:val="FF0000"/>
                <w:sz w:val="20"/>
              </w:rPr>
              <w:t>未覆盖</w:t>
            </w:r>
          </w:p>
        </w:tc>
        <w:tc>
          <w:tcPr>
            <w:tcW w:type="dxa" w:w="5040"/>
            <w:vAlign w:val="top"/>
          </w:tcPr>
          <w:p>
            <w:pPr>
              <w:spacing w:after="60" w:before="60"/>
            </w:pPr>
            <w:r>
              <w:rPr>
                <w:rFonts w:ascii="Times New Roman" w:hAnsi="Times New Roman" w:eastAsia="宋体"/>
                <w:sz w:val="20"/>
              </w:rPr>
              <w:t>该法规对此子类别无相关要求。法规未涉及资金集中管理、现金池运作、融资安排或备付金底线等流动性管理的具体规定。企业在境外投资中的资金和流动性管理完全由企业根据自身财务状况和经营需要自主决定。</w:t>
            </w:r>
          </w:p>
        </w:tc>
        <w:tc>
          <w:tcPr>
            <w:tcW w:type="dxa" w:w="3600"/>
            <w:vAlign w:val="top"/>
          </w:tcPr>
          <w:p>
            <w:pPr>
              <w:spacing w:after="60" w:before="60"/>
            </w:pPr>
            <w:r>
              <w:rPr>
                <w:rFonts w:ascii="Times New Roman" w:hAnsi="Times New Roman" w:eastAsia="宋体"/>
                <w:sz w:val="20"/>
              </w:rPr>
              <w:t>【合规要点】</w:t>
              <w:br/>
              <w:t>• 企业应根据境外投资规模建立相应的资金管理机制</w:t>
              <w:br/>
              <w:t>• 确保境外投资项目的资金安全和流动性</w:t>
            </w:r>
          </w:p>
        </w:tc>
      </w:tr>
    </w:tbl>
    <w:p>
      <w:pPr>
        <w:pStyle w:val="Heading2"/>
      </w:pPr>
      <w:r>
        <w:t>合规措施建议</w:t>
      </w:r>
    </w:p>
    <w:p>
      <w:pPr>
        <w:spacing w:after="240"/>
        <w:ind w:firstLine="720"/>
      </w:pPr>
      <w:r>
        <w:t>基于法规的原则性要求，企业应建立完善的境外投资财务风险管理体系。重点包括：建立与境外投资规模和复杂程度相匹配的风险识别和评估机制；制定涵盖外汇、商品价格、信用和流动性等各类风险的管理政策；建立风险监控和预警系统，确保及时发现和应对各类财务风险；加强境外投资项目的财务管理和资金监控，确保企业能够有效履行'自负盈亏'的责任。同时，企业应根据投资所在国的法律法规要求，完善相应的财务管理制度。</w:t>
      </w:r>
    </w:p>
    <w:p/>
    <w:p/>
    <w:p>
      <w:pPr>
        <w:pStyle w:val="Heading1"/>
      </w:pPr>
      <w:r>
        <w:t>五、运营与 HSE</w:t>
      </w:r>
    </w:p>
    <w:p>
      <w:pPr>
        <w:pStyle w:val="Heading2"/>
      </w:pPr>
      <w:r>
        <w:t>大类法规要求概述</w:t>
      </w:r>
    </w:p>
    <w:p>
      <w:pPr>
        <w:spacing w:after="240"/>
        <w:ind w:firstLine="720"/>
      </w:pPr>
      <w:r>
        <w:t>该法规对运营与HSE管理提出了原则性要求，主要集中在两个方面：一是要求境外投资企业必须遵守投资目的地的法律法规，履行社会责任，特别强调了环境保护和劳工保护工作；二是要求企业建立安全管理机制，包括人员和财产安全防范措施、突发事件预警机制和应急预案。法规体现了国家对境外投资企业在运营安全和社会责任方面的基本要求，但对具体的HSE管理体系、环境管理、供应链管理等方面未做详细规定，给企业留有较大的自主管理空间。</w:t>
      </w:r>
    </w:p>
    <w:p>
      <w:pPr>
        <w:pStyle w:val="Heading2"/>
      </w:pPr>
      <w:r>
        <w:t>子类别法规要求分析</w:t>
      </w:r>
    </w:p>
    <w:tbl>
      <w:tblPr>
        <w:tblStyle w:val="LightGrid-Accent1"/>
        <w:tblW w:type="auto" w:w="0"/>
        <w:tblLayout w:type="autofit"/>
        <w:tblLook w:firstColumn="1" w:firstRow="1" w:lastColumn="0" w:lastRow="0" w:noHBand="0" w:noVBand="1" w:val="04A0"/>
      </w:tblPr>
      <w:tblGrid>
        <w:gridCol w:w="2160"/>
        <w:gridCol w:w="2160"/>
        <w:gridCol w:w="2160"/>
        <w:gridCol w:w="2160"/>
      </w:tblGrid>
      <w:tr>
        <w:tc>
          <w:tcPr>
            <w:tcW w:type="dxa" w:w="2160"/>
            <w:shd w:fill="E0E0E0"/>
          </w:tcPr>
          <w:p>
            <w:pPr>
              <w:jc w:val="center"/>
            </w:pPr>
            <w:r>
              <w:rPr>
                <w:rFonts w:ascii="Arial" w:hAnsi="Arial" w:eastAsia="黑体"/>
                <w:b/>
                <w:sz w:val="22"/>
              </w:rPr>
              <w:t>子类别</w:t>
            </w:r>
          </w:p>
        </w:tc>
        <w:tc>
          <w:tcPr>
            <w:tcW w:type="dxa" w:w="1440"/>
            <w:shd w:fill="E0E0E0"/>
          </w:tcPr>
          <w:p>
            <w:pPr>
              <w:jc w:val="center"/>
            </w:pPr>
            <w:r>
              <w:rPr>
                <w:rFonts w:ascii="Arial" w:hAnsi="Arial" w:eastAsia="黑体"/>
                <w:b/>
                <w:sz w:val="22"/>
              </w:rPr>
              <w:t>覆盖情况</w:t>
            </w:r>
          </w:p>
        </w:tc>
        <w:tc>
          <w:tcPr>
            <w:tcW w:type="dxa" w:w="5040"/>
            <w:shd w:fill="E0E0E0"/>
          </w:tcPr>
          <w:p>
            <w:pPr>
              <w:jc w:val="center"/>
            </w:pPr>
            <w:r>
              <w:rPr>
                <w:rFonts w:ascii="Arial" w:hAnsi="Arial" w:eastAsia="黑体"/>
                <w:b/>
                <w:sz w:val="22"/>
              </w:rPr>
              <w:t>法规要求</w:t>
            </w:r>
          </w:p>
        </w:tc>
        <w:tc>
          <w:tcPr>
            <w:tcW w:type="dxa" w:w="3600"/>
            <w:shd w:fill="E0E0E0"/>
          </w:tcPr>
          <w:p>
            <w:pPr>
              <w:jc w:val="center"/>
            </w:pPr>
            <w:r>
              <w:rPr>
                <w:rFonts w:ascii="Arial" w:hAnsi="Arial" w:eastAsia="黑体"/>
                <w:b/>
                <w:sz w:val="22"/>
              </w:rPr>
              <w:t>关键条款/合规要点</w:t>
            </w:r>
          </w:p>
        </w:tc>
      </w:tr>
      <w:tr>
        <w:tc>
          <w:tcPr>
            <w:tcW w:type="dxa" w:w="2160"/>
            <w:vAlign w:val="top"/>
          </w:tcPr>
          <w:p>
            <w:pPr>
              <w:spacing w:after="60" w:before="60"/>
              <w:jc w:val="left"/>
            </w:pPr>
            <w:r>
              <w:rPr>
                <w:rFonts w:ascii="Times New Roman" w:hAnsi="Times New Roman" w:eastAsia="宋体"/>
                <w:sz w:val="20"/>
              </w:rPr>
              <w:t>海外 HSE 管理体系标准</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第二十条要求企业投资的境外企业必须遵守投资目的地法律法规，履行社会责任，做好环境、劳工保护工作。第二十二条要求建立突发事件预警机制和应急预案。但法规未对具体的HSE管理体系标准、安全责任体系、风险评价方法、作业许可制度、PPE配备标准等提出明确要求。</w:t>
            </w:r>
          </w:p>
        </w:tc>
        <w:tc>
          <w:tcPr>
            <w:tcW w:type="dxa" w:w="3600"/>
            <w:vAlign w:val="top"/>
          </w:tcPr>
          <w:p>
            <w:pPr>
              <w:spacing w:after="60" w:before="60"/>
            </w:pPr>
            <w:r>
              <w:rPr>
                <w:rFonts w:ascii="Times New Roman" w:hAnsi="Times New Roman" w:eastAsia="宋体"/>
                <w:sz w:val="20"/>
              </w:rPr>
              <w:t>【关键条款】</w:t>
              <w:br/>
              <w:t>• 第二十条：遵守当地法律法规，做好环境、劳工保护</w:t>
              <w:br/>
              <w:t>• 第二十二条：建立突发事件预警机制和应急预案</w:t>
              <w:br/>
              <w:br/>
              <w:t>【合规要点】</w:t>
              <w:br/>
              <w:t>• 确保境外企业遵守当地HSE相关法律法规</w:t>
              <w:br/>
              <w:t>• 建立应急预案和预警机制</w:t>
            </w:r>
          </w:p>
        </w:tc>
      </w:tr>
      <w:tr>
        <w:tc>
          <w:tcPr>
            <w:tcW w:type="dxa" w:w="2160"/>
            <w:vAlign w:val="top"/>
          </w:tcPr>
          <w:p>
            <w:pPr>
              <w:spacing w:after="60" w:before="60"/>
              <w:jc w:val="left"/>
            </w:pPr>
            <w:r>
              <w:rPr>
                <w:rFonts w:ascii="Times New Roman" w:hAnsi="Times New Roman" w:eastAsia="宋体"/>
                <w:sz w:val="20"/>
              </w:rPr>
              <w:t>环境与气候变化管理办法（ESG）</w:t>
            </w:r>
          </w:p>
        </w:tc>
        <w:tc>
          <w:tcPr>
            <w:tcW w:type="dxa" w:w="1440"/>
            <w:vAlign w:val="top"/>
          </w:tcPr>
          <w:p>
            <w:pPr>
              <w:spacing w:after="60" w:before="60"/>
              <w:jc w:val="center"/>
            </w:pPr>
            <w:r>
              <w:rPr>
                <w:rFonts w:ascii="Times New Roman" w:hAnsi="Times New Roman" w:eastAsia="宋体"/>
                <w:b/>
                <w:color w:val="FF0000"/>
                <w:sz w:val="20"/>
              </w:rPr>
              <w:t>未覆盖</w:t>
            </w:r>
          </w:p>
        </w:tc>
        <w:tc>
          <w:tcPr>
            <w:tcW w:type="dxa" w:w="5040"/>
            <w:vAlign w:val="top"/>
          </w:tcPr>
          <w:p>
            <w:pPr>
              <w:spacing w:after="60" w:before="60"/>
            </w:pPr>
            <w:r>
              <w:rPr>
                <w:rFonts w:ascii="Times New Roman" w:hAnsi="Times New Roman" w:eastAsia="宋体"/>
                <w:sz w:val="20"/>
              </w:rPr>
              <w:t>该法规对此子类别无相关要求。法规仅在第二十条原则性地提到环境保护工作，但未涉及绿色矿山建设、碳排放目标设定、ESG信息披露等具体的环境与气候变化管理要求。</w:t>
            </w:r>
          </w:p>
        </w:tc>
        <w:tc>
          <w:tcPr>
            <w:tcW w:type="dxa" w:w="3600"/>
            <w:vAlign w:val="top"/>
          </w:tcPr>
          <w:p>
            <w:pPr>
              <w:spacing w:after="60" w:before="60"/>
            </w:pPr>
            <w:r>
              <w:rPr>
                <w:rFonts w:ascii="Times New Roman" w:hAnsi="Times New Roman" w:eastAsia="宋体"/>
                <w:sz w:val="20"/>
              </w:rPr>
              <w:t>无</w:t>
            </w:r>
          </w:p>
        </w:tc>
      </w:tr>
      <w:tr>
        <w:tc>
          <w:tcPr>
            <w:tcW w:type="dxa" w:w="2160"/>
            <w:vAlign w:val="top"/>
          </w:tcPr>
          <w:p>
            <w:pPr>
              <w:spacing w:after="60" w:before="60"/>
              <w:jc w:val="left"/>
            </w:pPr>
            <w:r>
              <w:rPr>
                <w:rFonts w:ascii="Times New Roman" w:hAnsi="Times New Roman" w:eastAsia="宋体"/>
                <w:sz w:val="20"/>
              </w:rPr>
              <w:t>生产安全事故预防与应急制度</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第二十二条明确要求企业落实人员和财产安全防范措施，建立突发事件预警机制和应急预案，并在发生突发事件时在驻外使领馆和国内主管部门指导下妥善处理。但法规未对具体的SOP制定、应急响应级别划分、演练计划等提出详细要求。</w:t>
            </w:r>
          </w:p>
        </w:tc>
        <w:tc>
          <w:tcPr>
            <w:tcW w:type="dxa" w:w="3600"/>
            <w:vAlign w:val="top"/>
          </w:tcPr>
          <w:p>
            <w:pPr>
              <w:spacing w:after="60" w:before="60"/>
            </w:pPr>
            <w:r>
              <w:rPr>
                <w:rFonts w:ascii="Times New Roman" w:hAnsi="Times New Roman" w:eastAsia="宋体"/>
                <w:sz w:val="20"/>
              </w:rPr>
              <w:t>【关键条款】</w:t>
              <w:br/>
              <w:t>• 第二十二条：落实安全防范措施，建立预警机制和应急预案</w:t>
              <w:br/>
              <w:br/>
              <w:t>【合规要点】</w:t>
              <w:br/>
              <w:t>• 建立突发事件应急预案</w:t>
              <w:br/>
              <w:t>• 配合使领馆处理突发事件</w:t>
              <w:br/>
              <w:t>• 落实人员和财产安全防范措施</w:t>
            </w:r>
          </w:p>
        </w:tc>
      </w:tr>
      <w:tr>
        <w:tc>
          <w:tcPr>
            <w:tcW w:type="dxa" w:w="2160"/>
            <w:vAlign w:val="top"/>
          </w:tcPr>
          <w:p>
            <w:pPr>
              <w:spacing w:after="60" w:before="60"/>
              <w:jc w:val="left"/>
            </w:pPr>
            <w:r>
              <w:rPr>
                <w:rFonts w:ascii="Times New Roman" w:hAnsi="Times New Roman" w:eastAsia="宋体"/>
                <w:sz w:val="20"/>
              </w:rPr>
              <w:t>供应链风险与可持续采购政策</w:t>
            </w:r>
          </w:p>
        </w:tc>
        <w:tc>
          <w:tcPr>
            <w:tcW w:type="dxa" w:w="1440"/>
            <w:vAlign w:val="top"/>
          </w:tcPr>
          <w:p>
            <w:pPr>
              <w:spacing w:after="60" w:before="60"/>
              <w:jc w:val="center"/>
            </w:pPr>
            <w:r>
              <w:rPr>
                <w:rFonts w:ascii="Times New Roman" w:hAnsi="Times New Roman" w:eastAsia="宋体"/>
                <w:b/>
                <w:color w:val="FF0000"/>
                <w:sz w:val="20"/>
              </w:rPr>
              <w:t>未覆盖</w:t>
            </w:r>
          </w:p>
        </w:tc>
        <w:tc>
          <w:tcPr>
            <w:tcW w:type="dxa" w:w="5040"/>
            <w:vAlign w:val="top"/>
          </w:tcPr>
          <w:p>
            <w:pPr>
              <w:spacing w:after="60" w:before="60"/>
            </w:pPr>
            <w:r>
              <w:rPr>
                <w:rFonts w:ascii="Times New Roman" w:hAnsi="Times New Roman" w:eastAsia="宋体"/>
                <w:sz w:val="20"/>
              </w:rPr>
              <w:t>该法规对此子类别无相关要求。法规未涉及供应商ESG准入、产地溯源、童工禁限等供应链管理和可持续采购相关内容。</w:t>
            </w:r>
          </w:p>
        </w:tc>
        <w:tc>
          <w:tcPr>
            <w:tcW w:type="dxa" w:w="3600"/>
            <w:vAlign w:val="top"/>
          </w:tcPr>
          <w:p>
            <w:pPr>
              <w:spacing w:after="60" w:before="60"/>
            </w:pPr>
            <w:r>
              <w:rPr>
                <w:rFonts w:ascii="Times New Roman" w:hAnsi="Times New Roman" w:eastAsia="宋体"/>
                <w:sz w:val="20"/>
              </w:rPr>
              <w:t>无</w:t>
            </w:r>
          </w:p>
        </w:tc>
      </w:tr>
      <w:tr>
        <w:tc>
          <w:tcPr>
            <w:tcW w:type="dxa" w:w="2160"/>
            <w:vAlign w:val="top"/>
          </w:tcPr>
          <w:p>
            <w:pPr>
              <w:spacing w:after="60" w:before="60"/>
              <w:jc w:val="left"/>
            </w:pPr>
            <w:r>
              <w:rPr>
                <w:rFonts w:ascii="Times New Roman" w:hAnsi="Times New Roman" w:eastAsia="宋体"/>
                <w:sz w:val="20"/>
              </w:rPr>
              <w:t>设备资产完整性管理制度</w:t>
            </w:r>
          </w:p>
        </w:tc>
        <w:tc>
          <w:tcPr>
            <w:tcW w:type="dxa" w:w="1440"/>
            <w:vAlign w:val="top"/>
          </w:tcPr>
          <w:p>
            <w:pPr>
              <w:spacing w:after="60" w:before="60"/>
              <w:jc w:val="center"/>
            </w:pPr>
            <w:r>
              <w:rPr>
                <w:rFonts w:ascii="Times New Roman" w:hAnsi="Times New Roman" w:eastAsia="宋体"/>
                <w:b/>
                <w:color w:val="FF0000"/>
                <w:sz w:val="20"/>
              </w:rPr>
              <w:t>未覆盖</w:t>
            </w:r>
          </w:p>
        </w:tc>
        <w:tc>
          <w:tcPr>
            <w:tcW w:type="dxa" w:w="5040"/>
            <w:vAlign w:val="top"/>
          </w:tcPr>
          <w:p>
            <w:pPr>
              <w:spacing w:after="60" w:before="60"/>
            </w:pPr>
            <w:r>
              <w:rPr>
                <w:rFonts w:ascii="Times New Roman" w:hAnsi="Times New Roman" w:eastAsia="宋体"/>
                <w:sz w:val="20"/>
              </w:rPr>
              <w:t>该法规对此子类别无相关要求。法规未涉及关键设备定检、状态监测、残余寿命评估等设备资产管理相关内容。</w:t>
            </w:r>
          </w:p>
        </w:tc>
        <w:tc>
          <w:tcPr>
            <w:tcW w:type="dxa" w:w="3600"/>
            <w:vAlign w:val="top"/>
          </w:tcPr>
          <w:p>
            <w:pPr>
              <w:spacing w:after="60" w:before="60"/>
            </w:pPr>
            <w:r>
              <w:rPr>
                <w:rFonts w:ascii="Times New Roman" w:hAnsi="Times New Roman" w:eastAsia="宋体"/>
                <w:sz w:val="20"/>
              </w:rPr>
              <w:t>无</w:t>
            </w:r>
          </w:p>
        </w:tc>
      </w:tr>
    </w:tbl>
    <w:p>
      <w:pPr>
        <w:pStyle w:val="Heading2"/>
      </w:pPr>
      <w:r>
        <w:t>合规措施建议</w:t>
      </w:r>
    </w:p>
    <w:p>
      <w:pPr>
        <w:spacing w:after="240"/>
        <w:ind w:firstLine="720"/>
      </w:pPr>
      <w:r>
        <w:t>企业应重点关注法规的原则性要求，建立符合投资目的地法律法规的HSE管理体系，确保环境保护和劳工权益得到保障。必须建立完善的应急管理机制，包括突发事件预警系统和应急预案，并定期演练。建议企业主动对标国际HSE管理标准，建立超越法规最低要求的管理体系。同时应加强与驻外使领馆的沟通联系，确保在突发事件发生时能够得到及时指导和支持。</w:t>
      </w:r>
    </w:p>
    <w:p/>
    <w:p/>
    <w:p>
      <w:pPr>
        <w:pStyle w:val="Heading1"/>
      </w:pPr>
      <w:r>
        <w:t>六、安全与危机</w:t>
      </w:r>
    </w:p>
    <w:p>
      <w:pPr>
        <w:pStyle w:val="Heading2"/>
      </w:pPr>
      <w:r>
        <w:t>大类法规要求概述</w:t>
      </w:r>
    </w:p>
    <w:p>
      <w:pPr>
        <w:spacing w:after="240"/>
        <w:ind w:firstLine="720"/>
      </w:pPr>
      <w:r>
        <w:t>法规对境外投资企业的安全与危机管理提出了明确要求，重点集中在人员安全保障和应急管理两个方面。第二十二条要求企业必须落实人员和财产安全防范措施，建立突发事件预警机制和应急预案。对于外派人员管理，法规强调了从选拔、培训到合法居留的全流程管理要求。企业需要做好外派人员的选审、行前安全教育、纪律教育和应急培训工作，并依法办理当地合法居留和工作许可。同时，企业必须建立与我国驻外使领馆的联系协调机制，确保在突发事件发生时能够及时响应和处置。</w:t>
      </w:r>
    </w:p>
    <w:p>
      <w:pPr>
        <w:pStyle w:val="Heading2"/>
      </w:pPr>
      <w:r>
        <w:t>子类别法规要求分析</w:t>
      </w:r>
    </w:p>
    <w:tbl>
      <w:tblPr>
        <w:tblStyle w:val="LightGrid-Accent1"/>
        <w:tblW w:type="auto" w:w="0"/>
        <w:tblLayout w:type="autofit"/>
        <w:tblLook w:firstColumn="1" w:firstRow="1" w:lastColumn="0" w:lastRow="0" w:noHBand="0" w:noVBand="1" w:val="04A0"/>
      </w:tblPr>
      <w:tblGrid>
        <w:gridCol w:w="2160"/>
        <w:gridCol w:w="2160"/>
        <w:gridCol w:w="2160"/>
        <w:gridCol w:w="2160"/>
      </w:tblGrid>
      <w:tr>
        <w:tc>
          <w:tcPr>
            <w:tcW w:type="dxa" w:w="2160"/>
            <w:shd w:fill="E0E0E0"/>
          </w:tcPr>
          <w:p>
            <w:pPr>
              <w:jc w:val="center"/>
            </w:pPr>
            <w:r>
              <w:rPr>
                <w:rFonts w:ascii="Arial" w:hAnsi="Arial" w:eastAsia="黑体"/>
                <w:b/>
                <w:sz w:val="22"/>
              </w:rPr>
              <w:t>子类别</w:t>
            </w:r>
          </w:p>
        </w:tc>
        <w:tc>
          <w:tcPr>
            <w:tcW w:type="dxa" w:w="1440"/>
            <w:shd w:fill="E0E0E0"/>
          </w:tcPr>
          <w:p>
            <w:pPr>
              <w:jc w:val="center"/>
            </w:pPr>
            <w:r>
              <w:rPr>
                <w:rFonts w:ascii="Arial" w:hAnsi="Arial" w:eastAsia="黑体"/>
                <w:b/>
                <w:sz w:val="22"/>
              </w:rPr>
              <w:t>覆盖情况</w:t>
            </w:r>
          </w:p>
        </w:tc>
        <w:tc>
          <w:tcPr>
            <w:tcW w:type="dxa" w:w="5040"/>
            <w:shd w:fill="E0E0E0"/>
          </w:tcPr>
          <w:p>
            <w:pPr>
              <w:jc w:val="center"/>
            </w:pPr>
            <w:r>
              <w:rPr>
                <w:rFonts w:ascii="Arial" w:hAnsi="Arial" w:eastAsia="黑体"/>
                <w:b/>
                <w:sz w:val="22"/>
              </w:rPr>
              <w:t>法规要求</w:t>
            </w:r>
          </w:p>
        </w:tc>
        <w:tc>
          <w:tcPr>
            <w:tcW w:type="dxa" w:w="3600"/>
            <w:shd w:fill="E0E0E0"/>
          </w:tcPr>
          <w:p>
            <w:pPr>
              <w:jc w:val="center"/>
            </w:pPr>
            <w:r>
              <w:rPr>
                <w:rFonts w:ascii="Arial" w:hAnsi="Arial" w:eastAsia="黑体"/>
                <w:b/>
                <w:sz w:val="22"/>
              </w:rPr>
              <w:t>关键条款/合规要点</w:t>
            </w:r>
          </w:p>
        </w:tc>
      </w:tr>
      <w:tr>
        <w:tc>
          <w:tcPr>
            <w:tcW w:type="dxa" w:w="2160"/>
            <w:vAlign w:val="top"/>
          </w:tcPr>
          <w:p>
            <w:pPr>
              <w:spacing w:after="60" w:before="60"/>
              <w:jc w:val="left"/>
            </w:pPr>
            <w:r>
              <w:rPr>
                <w:rFonts w:ascii="Times New Roman" w:hAnsi="Times New Roman" w:eastAsia="宋体"/>
                <w:sz w:val="20"/>
              </w:rPr>
              <w:t>海外安全防护与人员安保管理办法</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第二十二条明确要求企业落实人员和财产安全防范措施，做好外派人员的选审、行前安全、纪律教育和应急培训工作，加强对外派人员的管理，依法办理当地合法居留和工作许可。虽然法规对人员安全管理有明确要求，但对于护卫级别、承包商准入等具体安保措施未作详细规定。</w:t>
            </w:r>
          </w:p>
        </w:tc>
        <w:tc>
          <w:tcPr>
            <w:tcW w:type="dxa" w:w="3600"/>
            <w:vAlign w:val="top"/>
          </w:tcPr>
          <w:p>
            <w:pPr>
              <w:spacing w:after="60" w:before="60"/>
            </w:pPr>
            <w:r>
              <w:rPr>
                <w:rFonts w:ascii="Times New Roman" w:hAnsi="Times New Roman" w:eastAsia="宋体"/>
                <w:sz w:val="20"/>
              </w:rPr>
              <w:t>【关键条款】</w:t>
              <w:br/>
              <w:t>• 第二十二条：落实人员和财产安全防范措施</w:t>
              <w:br/>
              <w:t>• 第二十二条：做好外派人员的选审、行前安全、纪律教育和应急培训工作</w:t>
              <w:br/>
              <w:br/>
              <w:t>【合规要点】</w:t>
              <w:br/>
              <w:t>• 建立外派人员选拔和审查机制</w:t>
              <w:br/>
              <w:t>• 开展行前安全和应急培训</w:t>
              <w:br/>
              <w:t>• 办理合法居留和工作许可</w:t>
              <w:br/>
              <w:t>• 落实人员财产安全防范措施</w:t>
            </w:r>
          </w:p>
        </w:tc>
      </w:tr>
      <w:tr>
        <w:tc>
          <w:tcPr>
            <w:tcW w:type="dxa" w:w="2160"/>
            <w:vAlign w:val="top"/>
          </w:tcPr>
          <w:p>
            <w:pPr>
              <w:spacing w:after="60" w:before="60"/>
              <w:jc w:val="left"/>
            </w:pPr>
            <w:r>
              <w:rPr>
                <w:rFonts w:ascii="Times New Roman" w:hAnsi="Times New Roman" w:eastAsia="宋体"/>
                <w:sz w:val="20"/>
              </w:rPr>
              <w:t>危机管理与业务连续性计划(BCP)制度</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第二十二条要求企业建立突发事件预警机制和应急预案，并与我国驻外使领馆保持联系协调。法规对危机管理有原则性要求，但对于具体的情景触发条件、指挥链条、备份设施等业务连续性计划的细节内容未作明确规定。</w:t>
            </w:r>
          </w:p>
        </w:tc>
        <w:tc>
          <w:tcPr>
            <w:tcW w:type="dxa" w:w="3600"/>
            <w:vAlign w:val="top"/>
          </w:tcPr>
          <w:p>
            <w:pPr>
              <w:spacing w:after="60" w:before="60"/>
            </w:pPr>
            <w:r>
              <w:rPr>
                <w:rFonts w:ascii="Times New Roman" w:hAnsi="Times New Roman" w:eastAsia="宋体"/>
                <w:sz w:val="20"/>
              </w:rPr>
              <w:t>【关键条款】</w:t>
              <w:br/>
              <w:t>• 第二十二条：建立突发事件预警机制和应急预案</w:t>
              <w:br/>
              <w:br/>
              <w:t>【合规要点】</w:t>
              <w:br/>
              <w:t>• 建立突发事件预警机制</w:t>
              <w:br/>
              <w:t>• 制定应急预案</w:t>
              <w:br/>
              <w:t>• 与驻外使领馆建立联系协调机制</w:t>
            </w:r>
          </w:p>
        </w:tc>
      </w:tr>
      <w:tr>
        <w:tc>
          <w:tcPr>
            <w:tcW w:type="dxa" w:w="2160"/>
            <w:vAlign w:val="top"/>
          </w:tcPr>
          <w:p>
            <w:pPr>
              <w:spacing w:after="60" w:before="60"/>
              <w:jc w:val="left"/>
            </w:pPr>
            <w:r>
              <w:rPr>
                <w:rFonts w:ascii="Times New Roman" w:hAnsi="Times New Roman" w:eastAsia="宋体"/>
                <w:sz w:val="20"/>
              </w:rPr>
              <w:t>政治风险保险与风险转移指引</w:t>
            </w:r>
          </w:p>
        </w:tc>
        <w:tc>
          <w:tcPr>
            <w:tcW w:type="dxa" w:w="1440"/>
            <w:vAlign w:val="top"/>
          </w:tcPr>
          <w:p>
            <w:pPr>
              <w:spacing w:after="60" w:before="60"/>
              <w:jc w:val="center"/>
            </w:pPr>
            <w:r>
              <w:rPr>
                <w:rFonts w:ascii="Times New Roman" w:hAnsi="Times New Roman" w:eastAsia="宋体"/>
                <w:b/>
                <w:color w:val="FF0000"/>
                <w:sz w:val="20"/>
              </w:rPr>
              <w:t>未覆盖</w:t>
            </w:r>
          </w:p>
        </w:tc>
        <w:tc>
          <w:tcPr>
            <w:tcW w:type="dxa" w:w="5040"/>
            <w:vAlign w:val="top"/>
          </w:tcPr>
          <w:p>
            <w:pPr>
              <w:spacing w:after="60" w:before="60"/>
            </w:pPr>
            <w:r>
              <w:rPr>
                <w:rFonts w:ascii="Times New Roman" w:hAnsi="Times New Roman" w:eastAsia="宋体"/>
                <w:sz w:val="20"/>
              </w:rPr>
              <w:t>该法规对此子类别无相关要求。法规未涉及政治风险保险的适用情形、投保流程或索赔协作等风险转移机制的具体规定。</w:t>
            </w:r>
          </w:p>
        </w:tc>
        <w:tc>
          <w:tcPr>
            <w:tcW w:type="dxa" w:w="3600"/>
            <w:vAlign w:val="top"/>
          </w:tcPr>
          <w:p>
            <w:pPr>
              <w:spacing w:after="60" w:before="60"/>
            </w:pPr>
            <w:r>
              <w:rPr>
                <w:rFonts w:ascii="Times New Roman" w:hAnsi="Times New Roman" w:eastAsia="宋体"/>
                <w:sz w:val="20"/>
              </w:rPr>
              <w:t>无</w:t>
            </w:r>
          </w:p>
        </w:tc>
      </w:tr>
    </w:tbl>
    <w:p>
      <w:pPr>
        <w:pStyle w:val="Heading2"/>
      </w:pPr>
      <w:r>
        <w:t>合规措施建议</w:t>
      </w:r>
    </w:p>
    <w:p>
      <w:pPr>
        <w:spacing w:after="240"/>
        <w:ind w:firstLine="720"/>
      </w:pPr>
      <w:r>
        <w:t>企业应建立完善的境外安全管理体系，重点做好以下工作：一是制定外派人员管理制度，涵盖人员选拔、安全培训、应急演练等环节；二是建立突发事件应急响应机制，制定详细的应急预案并定期演练；三是与驻外使领馆建立常态化联系机制，确保信息畅通；四是落实人员和财产安全防范措施，根据项目所在地风险等级采取相应的安保措施。虽然法规未对政治风险保险作出要求，但建议企业根据实际情况自主评估是否需要购买相关保险。</w:t>
      </w:r>
    </w:p>
    <w:p/>
    <w:p/>
    <w:p>
      <w:pPr>
        <w:pStyle w:val="Heading1"/>
      </w:pPr>
      <w:r>
        <w:t>七、信息与网络安全</w:t>
      </w:r>
    </w:p>
    <w:p>
      <w:pPr>
        <w:pStyle w:val="Heading2"/>
      </w:pPr>
      <w:r>
        <w:t>大类法规要求概述</w:t>
      </w:r>
    </w:p>
    <w:p>
      <w:pPr>
        <w:spacing w:after="240"/>
        <w:ind w:firstLine="720"/>
      </w:pPr>
      <w:r>
        <w:t>从收集到的法规内容来看，该法规主要聚焦于境外投资的社会责任、人员管理和信息报送等方面，对信息与网络安全领域的直接规范较少。仅在信息报送方面提出了数据真实性和准确性的要求，这可以理解为对信息管理的基础性要求。法规更多地关注境外投资的合规性、社会责任履行以及人员安全管理，而非技术层面的网络安全和信息系统管理。这表明在境外投资领域，当前法规体系对信息与网络安全的专门规范尚不完善，企业需要参考其他相关法规和国际标准来建立完整的信息安全管理体系。</w:t>
      </w:r>
    </w:p>
    <w:p>
      <w:pPr>
        <w:pStyle w:val="Heading2"/>
      </w:pPr>
      <w:r>
        <w:t>子类别法规要求分析</w:t>
      </w:r>
    </w:p>
    <w:tbl>
      <w:tblPr>
        <w:tblStyle w:val="LightGrid-Accent1"/>
        <w:tblW w:type="auto" w:w="0"/>
        <w:tblLayout w:type="autofit"/>
        <w:tblLook w:firstColumn="1" w:firstRow="1" w:lastColumn="0" w:lastRow="0" w:noHBand="0" w:noVBand="1" w:val="04A0"/>
      </w:tblPr>
      <w:tblGrid>
        <w:gridCol w:w="2160"/>
        <w:gridCol w:w="2160"/>
        <w:gridCol w:w="2160"/>
        <w:gridCol w:w="2160"/>
      </w:tblGrid>
      <w:tr>
        <w:tc>
          <w:tcPr>
            <w:tcW w:type="dxa" w:w="2160"/>
            <w:shd w:fill="E0E0E0"/>
          </w:tcPr>
          <w:p>
            <w:pPr>
              <w:jc w:val="center"/>
            </w:pPr>
            <w:r>
              <w:rPr>
                <w:rFonts w:ascii="Arial" w:hAnsi="Arial" w:eastAsia="黑体"/>
                <w:b/>
                <w:sz w:val="22"/>
              </w:rPr>
              <w:t>子类别</w:t>
            </w:r>
          </w:p>
        </w:tc>
        <w:tc>
          <w:tcPr>
            <w:tcW w:type="dxa" w:w="1440"/>
            <w:shd w:fill="E0E0E0"/>
          </w:tcPr>
          <w:p>
            <w:pPr>
              <w:jc w:val="center"/>
            </w:pPr>
            <w:r>
              <w:rPr>
                <w:rFonts w:ascii="Arial" w:hAnsi="Arial" w:eastAsia="黑体"/>
                <w:b/>
                <w:sz w:val="22"/>
              </w:rPr>
              <w:t>覆盖情况</w:t>
            </w:r>
          </w:p>
        </w:tc>
        <w:tc>
          <w:tcPr>
            <w:tcW w:type="dxa" w:w="5040"/>
            <w:shd w:fill="E0E0E0"/>
          </w:tcPr>
          <w:p>
            <w:pPr>
              <w:jc w:val="center"/>
            </w:pPr>
            <w:r>
              <w:rPr>
                <w:rFonts w:ascii="Arial" w:hAnsi="Arial" w:eastAsia="黑体"/>
                <w:b/>
                <w:sz w:val="22"/>
              </w:rPr>
              <w:t>法规要求</w:t>
            </w:r>
          </w:p>
        </w:tc>
        <w:tc>
          <w:tcPr>
            <w:tcW w:type="dxa" w:w="3600"/>
            <w:shd w:fill="E0E0E0"/>
          </w:tcPr>
          <w:p>
            <w:pPr>
              <w:jc w:val="center"/>
            </w:pPr>
            <w:r>
              <w:rPr>
                <w:rFonts w:ascii="Arial" w:hAnsi="Arial" w:eastAsia="黑体"/>
                <w:b/>
                <w:sz w:val="22"/>
              </w:rPr>
              <w:t>关键条款/合规要点</w:t>
            </w:r>
          </w:p>
        </w:tc>
      </w:tr>
      <w:tr>
        <w:tc>
          <w:tcPr>
            <w:tcW w:type="dxa" w:w="2160"/>
            <w:vAlign w:val="top"/>
          </w:tcPr>
          <w:p>
            <w:pPr>
              <w:spacing w:after="60" w:before="60"/>
              <w:jc w:val="left"/>
            </w:pPr>
            <w:r>
              <w:rPr>
                <w:rFonts w:ascii="Times New Roman" w:hAnsi="Times New Roman" w:eastAsia="宋体"/>
                <w:sz w:val="20"/>
              </w:rPr>
              <w:t>网络安全与信息系统管理制度</w:t>
            </w:r>
          </w:p>
        </w:tc>
        <w:tc>
          <w:tcPr>
            <w:tcW w:type="dxa" w:w="1440"/>
            <w:vAlign w:val="top"/>
          </w:tcPr>
          <w:p>
            <w:pPr>
              <w:spacing w:after="60" w:before="60"/>
              <w:jc w:val="center"/>
            </w:pPr>
            <w:r>
              <w:rPr>
                <w:rFonts w:ascii="Times New Roman" w:hAnsi="Times New Roman" w:eastAsia="宋体"/>
                <w:b/>
                <w:color w:val="FF0000"/>
                <w:sz w:val="20"/>
              </w:rPr>
              <w:t>未覆盖</w:t>
            </w:r>
          </w:p>
        </w:tc>
        <w:tc>
          <w:tcPr>
            <w:tcW w:type="dxa" w:w="5040"/>
            <w:vAlign w:val="top"/>
          </w:tcPr>
          <w:p>
            <w:pPr>
              <w:spacing w:after="60" w:before="60"/>
            </w:pPr>
            <w:r>
              <w:rPr>
                <w:rFonts w:ascii="Times New Roman" w:hAnsi="Times New Roman" w:eastAsia="宋体"/>
                <w:sz w:val="20"/>
              </w:rPr>
              <w:t>该法规对此子类别无相关要求。法规未涉及网络安全等级保护、漏洞管理、日志留存等技术性网络安全管理要求，也未对境外投资企业的信息系统安全管理提出具体规范。企业在境外投资过程中的网络安全管理需要参考其他专门的网络安全法规。</w:t>
            </w:r>
          </w:p>
        </w:tc>
        <w:tc>
          <w:tcPr>
            <w:tcW w:type="dxa" w:w="3600"/>
            <w:vAlign w:val="top"/>
          </w:tcPr>
          <w:p>
            <w:pPr>
              <w:spacing w:after="60" w:before="60"/>
            </w:pPr>
            <w:r>
              <w:rPr>
                <w:rFonts w:ascii="Times New Roman" w:hAnsi="Times New Roman" w:eastAsia="宋体"/>
                <w:sz w:val="20"/>
              </w:rPr>
              <w:t>无</w:t>
            </w:r>
          </w:p>
        </w:tc>
      </w:tr>
      <w:tr>
        <w:tc>
          <w:tcPr>
            <w:tcW w:type="dxa" w:w="2160"/>
            <w:vAlign w:val="top"/>
          </w:tcPr>
          <w:p>
            <w:pPr>
              <w:spacing w:after="60" w:before="60"/>
              <w:jc w:val="left"/>
            </w:pPr>
            <w:r>
              <w:rPr>
                <w:rFonts w:ascii="Times New Roman" w:hAnsi="Times New Roman" w:eastAsia="宋体"/>
                <w:sz w:val="20"/>
              </w:rPr>
              <w:t>工控系统安全规范</w:t>
            </w:r>
          </w:p>
        </w:tc>
        <w:tc>
          <w:tcPr>
            <w:tcW w:type="dxa" w:w="1440"/>
            <w:vAlign w:val="top"/>
          </w:tcPr>
          <w:p>
            <w:pPr>
              <w:spacing w:after="60" w:before="60"/>
              <w:jc w:val="center"/>
            </w:pPr>
            <w:r>
              <w:rPr>
                <w:rFonts w:ascii="Times New Roman" w:hAnsi="Times New Roman" w:eastAsia="宋体"/>
                <w:b/>
                <w:color w:val="FF0000"/>
                <w:sz w:val="20"/>
              </w:rPr>
              <w:t>未覆盖</w:t>
            </w:r>
          </w:p>
        </w:tc>
        <w:tc>
          <w:tcPr>
            <w:tcW w:type="dxa" w:w="5040"/>
            <w:vAlign w:val="top"/>
          </w:tcPr>
          <w:p>
            <w:pPr>
              <w:spacing w:after="60" w:before="60"/>
            </w:pPr>
            <w:r>
              <w:rPr>
                <w:rFonts w:ascii="Times New Roman" w:hAnsi="Times New Roman" w:eastAsia="宋体"/>
                <w:sz w:val="20"/>
              </w:rPr>
              <w:t>该法规对此子类别无相关要求。法规未涉及工业控制系统的安全管理，包括分层隔离、白名单管理、补丁管理等工控安全措施。对于涉及工业生产的境外投资项目，企业需要依据行业标准和目标国的相关法规建立工控系统安全管理体系。</w:t>
            </w:r>
          </w:p>
        </w:tc>
        <w:tc>
          <w:tcPr>
            <w:tcW w:type="dxa" w:w="3600"/>
            <w:vAlign w:val="top"/>
          </w:tcPr>
          <w:p>
            <w:pPr>
              <w:spacing w:after="60" w:before="60"/>
            </w:pPr>
            <w:r>
              <w:rPr>
                <w:rFonts w:ascii="Times New Roman" w:hAnsi="Times New Roman" w:eastAsia="宋体"/>
                <w:sz w:val="20"/>
              </w:rPr>
              <w:t>无</w:t>
            </w:r>
          </w:p>
        </w:tc>
      </w:tr>
      <w:tr>
        <w:tc>
          <w:tcPr>
            <w:tcW w:type="dxa" w:w="2160"/>
            <w:vAlign w:val="top"/>
          </w:tcPr>
          <w:p>
            <w:pPr>
              <w:spacing w:after="60" w:before="60"/>
              <w:jc w:val="left"/>
            </w:pPr>
            <w:r>
              <w:rPr>
                <w:rFonts w:ascii="Times New Roman" w:hAnsi="Times New Roman" w:eastAsia="宋体"/>
                <w:sz w:val="20"/>
              </w:rPr>
              <w:t>信息分类分级与保密管理办法</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在第二十四条要求企业向商务部门报告境外投资业务情况和统计资料时，必须确保报送情况和数据真实准确。虽然这不是完整的信息分类分级制度，但体现了对信息真实性和准确性的基本要求，可视为信息管理的基础性规范。</w:t>
            </w:r>
          </w:p>
        </w:tc>
        <w:tc>
          <w:tcPr>
            <w:tcW w:type="dxa" w:w="3600"/>
            <w:vAlign w:val="top"/>
          </w:tcPr>
          <w:p>
            <w:pPr>
              <w:spacing w:after="60" w:before="60"/>
            </w:pPr>
            <w:r>
              <w:rPr>
                <w:rFonts w:ascii="Times New Roman" w:hAnsi="Times New Roman" w:eastAsia="宋体"/>
                <w:sz w:val="20"/>
              </w:rPr>
              <w:t>【关键条款】</w:t>
              <w:br/>
              <w:t>• 第二十四条：企业应当向原备案或核准的商务部或省级商务主管部门报告境外投资业务情况、统计资料，确保报送情况和数据真实准确</w:t>
              <w:br/>
              <w:br/>
              <w:t>【合规要点】</w:t>
              <w:br/>
              <w:t>• 确保向商务部门报送数据的真实性</w:t>
              <w:br/>
              <w:t>• 建立信息报送审核机制</w:t>
            </w:r>
          </w:p>
        </w:tc>
      </w:tr>
    </w:tbl>
    <w:p>
      <w:pPr>
        <w:pStyle w:val="Heading2"/>
      </w:pPr>
      <w:r>
        <w:t>合规措施建议</w:t>
      </w:r>
    </w:p>
    <w:p>
      <w:pPr>
        <w:spacing w:after="240"/>
        <w:ind w:firstLine="720"/>
      </w:pPr>
      <w:r>
        <w:t>鉴于法规对信息与网络安全的直接要求有限，企业应主动建立完善的信息安全管理体系。首先，确保向商务部门报送信息的真实准确，建立数据审核和质量控制机制。其次，参考国家网络安全法、数据安全法等相关法规，建立符合境外投资特点的网络安全和数据保护制度。对于涉及工业生产的投资项目，应按照行业标准建立工控系统安全防护措施。同时，建议企业制定信息分类分级标准，加强涉密信息和敏感数据的保护。</w:t>
      </w:r>
    </w:p>
    <w:p/>
    <w:p/>
    <w:p>
      <w:pPr>
        <w:pStyle w:val="Heading1"/>
      </w:pPr>
      <w:r>
        <w:t>八、社会责任与人力</w:t>
      </w:r>
    </w:p>
    <w:p>
      <w:pPr>
        <w:pStyle w:val="Heading2"/>
      </w:pPr>
      <w:r>
        <w:t>大类法规要求概述</w:t>
      </w:r>
    </w:p>
    <w:p>
      <w:pPr>
        <w:spacing w:after="240"/>
        <w:ind w:firstLine="720"/>
      </w:pPr>
      <w:r>
        <w:t>该法规对企业境外投资在社会责任与人力管理方面提出了明确要求。法规强调企业必须要求其境外投资企业遵守投资目的地法律法规，尊重当地风俗习惯，履行社会责任，特别是在环境保护、劳工保护和企业文化建设等方面。同时，法规对外派人员管理提出了具体要求，包括人员选审、安全培训、应急管理等。法规还要求企业建立突发事件预警机制和应急预案，确保人员和财产安全。违反相关规定的企业将在三年内不得享受国家有关政策支持，这体现了法规对社会责任履行的重视程度。</w:t>
      </w:r>
    </w:p>
    <w:p>
      <w:pPr>
        <w:pStyle w:val="Heading2"/>
      </w:pPr>
      <w:r>
        <w:t>子类别法规要求分析</w:t>
      </w:r>
    </w:p>
    <w:tbl>
      <w:tblPr>
        <w:tblStyle w:val="LightGrid-Accent1"/>
        <w:tblW w:type="auto" w:w="0"/>
        <w:tblLayout w:type="autofit"/>
        <w:tblLook w:firstColumn="1" w:firstRow="1" w:lastColumn="0" w:lastRow="0" w:noHBand="0" w:noVBand="1" w:val="04A0"/>
      </w:tblPr>
      <w:tblGrid>
        <w:gridCol w:w="2160"/>
        <w:gridCol w:w="2160"/>
        <w:gridCol w:w="2160"/>
        <w:gridCol w:w="2160"/>
      </w:tblGrid>
      <w:tr>
        <w:tc>
          <w:tcPr>
            <w:tcW w:type="dxa" w:w="2160"/>
            <w:shd w:fill="E0E0E0"/>
          </w:tcPr>
          <w:p>
            <w:pPr>
              <w:jc w:val="center"/>
            </w:pPr>
            <w:r>
              <w:rPr>
                <w:rFonts w:ascii="Arial" w:hAnsi="Arial" w:eastAsia="黑体"/>
                <w:b/>
                <w:sz w:val="22"/>
              </w:rPr>
              <w:t>子类别</w:t>
            </w:r>
          </w:p>
        </w:tc>
        <w:tc>
          <w:tcPr>
            <w:tcW w:type="dxa" w:w="1440"/>
            <w:shd w:fill="E0E0E0"/>
          </w:tcPr>
          <w:p>
            <w:pPr>
              <w:jc w:val="center"/>
            </w:pPr>
            <w:r>
              <w:rPr>
                <w:rFonts w:ascii="Arial" w:hAnsi="Arial" w:eastAsia="黑体"/>
                <w:b/>
                <w:sz w:val="22"/>
              </w:rPr>
              <w:t>覆盖情况</w:t>
            </w:r>
          </w:p>
        </w:tc>
        <w:tc>
          <w:tcPr>
            <w:tcW w:type="dxa" w:w="5040"/>
            <w:shd w:fill="E0E0E0"/>
          </w:tcPr>
          <w:p>
            <w:pPr>
              <w:jc w:val="center"/>
            </w:pPr>
            <w:r>
              <w:rPr>
                <w:rFonts w:ascii="Arial" w:hAnsi="Arial" w:eastAsia="黑体"/>
                <w:b/>
                <w:sz w:val="22"/>
              </w:rPr>
              <w:t>法规要求</w:t>
            </w:r>
          </w:p>
        </w:tc>
        <w:tc>
          <w:tcPr>
            <w:tcW w:type="dxa" w:w="3600"/>
            <w:shd w:fill="E0E0E0"/>
          </w:tcPr>
          <w:p>
            <w:pPr>
              <w:jc w:val="center"/>
            </w:pPr>
            <w:r>
              <w:rPr>
                <w:rFonts w:ascii="Arial" w:hAnsi="Arial" w:eastAsia="黑体"/>
                <w:b/>
                <w:sz w:val="22"/>
              </w:rPr>
              <w:t>关键条款/合规要点</w:t>
            </w:r>
          </w:p>
        </w:tc>
      </w:tr>
      <w:tr>
        <w:tc>
          <w:tcPr>
            <w:tcW w:type="dxa" w:w="2160"/>
            <w:vAlign w:val="top"/>
          </w:tcPr>
          <w:p>
            <w:pPr>
              <w:spacing w:after="60" w:before="60"/>
              <w:jc w:val="left"/>
            </w:pPr>
            <w:r>
              <w:rPr>
                <w:rFonts w:ascii="Times New Roman" w:hAnsi="Times New Roman" w:eastAsia="宋体"/>
                <w:sz w:val="20"/>
              </w:rPr>
              <w:t>社区关系与社会责任(CSR)政策</w:t>
            </w:r>
          </w:p>
        </w:tc>
        <w:tc>
          <w:tcPr>
            <w:tcW w:type="dxa" w:w="1440"/>
            <w:vAlign w:val="top"/>
          </w:tcPr>
          <w:p>
            <w:pPr>
              <w:spacing w:after="60" w:before="60"/>
              <w:jc w:val="center"/>
            </w:pPr>
            <w:r>
              <w:rPr>
                <w:rFonts w:ascii="Times New Roman" w:hAnsi="Times New Roman" w:eastAsia="宋体"/>
                <w:b/>
                <w:color w:val="008000"/>
                <w:sz w:val="20"/>
              </w:rPr>
              <w:t>完全覆盖</w:t>
            </w:r>
          </w:p>
        </w:tc>
        <w:tc>
          <w:tcPr>
            <w:tcW w:type="dxa" w:w="5040"/>
            <w:vAlign w:val="top"/>
          </w:tcPr>
          <w:p>
            <w:pPr>
              <w:spacing w:after="60" w:before="60"/>
            </w:pPr>
            <w:r>
              <w:rPr>
                <w:rFonts w:ascii="Times New Roman" w:hAnsi="Times New Roman" w:eastAsia="宋体"/>
                <w:sz w:val="20"/>
              </w:rPr>
              <w:t>法规第二十条明确要求企业应当要求其投资的境外企业遵守投资目的地法律法规、尊重当地风俗习惯，履行社会责任，做好环境、劳工保护、企业文化建设等工作，促进与当地的融合。企业必须确保境外企业在社会责任履行方面符合要求，违反规定的企业三年内不得享受国家有关政策支持。</w:t>
            </w:r>
          </w:p>
        </w:tc>
        <w:tc>
          <w:tcPr>
            <w:tcW w:type="dxa" w:w="3600"/>
            <w:vAlign w:val="top"/>
          </w:tcPr>
          <w:p>
            <w:pPr>
              <w:spacing w:after="60" w:before="60"/>
            </w:pPr>
            <w:r>
              <w:rPr>
                <w:rFonts w:ascii="Times New Roman" w:hAnsi="Times New Roman" w:eastAsia="宋体"/>
                <w:sz w:val="20"/>
              </w:rPr>
              <w:t>【关键条款】</w:t>
              <w:br/>
              <w:t>• 第二十条：履行社会责任，做好环境、劳工保护、企业文化建设等工作</w:t>
              <w:br/>
              <w:t>• 促进与当地的融合</w:t>
              <w:br/>
              <w:br/>
              <w:t>【合规要点】</w:t>
              <w:br/>
              <w:t>• 建立社会责任管理体系</w:t>
              <w:br/>
              <w:t>• 定期评估社会责任履行情况</w:t>
              <w:br/>
              <w:t>• 加强与当地社区的沟通交流</w:t>
              <w:br/>
              <w:t>• 做好环境保护和文化建设工作</w:t>
            </w:r>
          </w:p>
        </w:tc>
      </w:tr>
      <w:tr>
        <w:tc>
          <w:tcPr>
            <w:tcW w:type="dxa" w:w="2160"/>
            <w:vAlign w:val="top"/>
          </w:tcPr>
          <w:p>
            <w:pPr>
              <w:spacing w:after="60" w:before="60"/>
              <w:jc w:val="left"/>
            </w:pPr>
            <w:r>
              <w:rPr>
                <w:rFonts w:ascii="Times New Roman" w:hAnsi="Times New Roman" w:eastAsia="宋体"/>
                <w:sz w:val="20"/>
              </w:rPr>
              <w:t>人权与劳工标准政策</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第二十条要求企业做好劳工保护工作，确保境外投资企业遵守当地劳工法律法规。第二十二条要求企业做好外派人员的选审、行前安全、纪律教育和应急培训工作，加强对外派人员的管理，依法办理当地合法居留和工作许可。但法规未直接涉及国际劳工公约、平等雇佣等具体人权标准。</w:t>
            </w:r>
          </w:p>
        </w:tc>
        <w:tc>
          <w:tcPr>
            <w:tcW w:type="dxa" w:w="3600"/>
            <w:vAlign w:val="top"/>
          </w:tcPr>
          <w:p>
            <w:pPr>
              <w:spacing w:after="60" w:before="60"/>
            </w:pPr>
            <w:r>
              <w:rPr>
                <w:rFonts w:ascii="Times New Roman" w:hAnsi="Times New Roman" w:eastAsia="宋体"/>
                <w:sz w:val="20"/>
              </w:rPr>
              <w:t>【关键条款】</w:t>
              <w:br/>
              <w:t>• 第二十条：做好劳工保护工作</w:t>
              <w:br/>
              <w:t>• 第二十二条：加强对外派人员的管理，依法办理当地合法居留和工作许可</w:t>
              <w:br/>
              <w:br/>
              <w:t>【合规要点】</w:t>
              <w:br/>
              <w:t>• 制定劳工保护政策</w:t>
              <w:br/>
              <w:t>• 确保外派人员合法工作</w:t>
              <w:br/>
              <w:t>• 遵守当地劳工法律法规</w:t>
              <w:br/>
              <w:t>• 建立外派人员管理制度</w:t>
            </w:r>
          </w:p>
        </w:tc>
      </w:tr>
      <w:tr>
        <w:tc>
          <w:tcPr>
            <w:tcW w:type="dxa" w:w="2160"/>
            <w:vAlign w:val="top"/>
          </w:tcPr>
          <w:p>
            <w:pPr>
              <w:spacing w:after="60" w:before="60"/>
              <w:jc w:val="left"/>
            </w:pPr>
            <w:r>
              <w:rPr>
                <w:rFonts w:ascii="Times New Roman" w:hAnsi="Times New Roman" w:eastAsia="宋体"/>
                <w:sz w:val="20"/>
              </w:rPr>
              <w:t>海外员工健康与福利管理制度</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第二十二条要求企业落实人员和财产安全防范措施，建立突发事件预警机制和应急预案，做好外派人员的行前安全和应急培训工作。法规强调了安全管理和应急响应，但未直接涉及医疗保险、心理援助等具体健康福利内容，主要关注安全防范和应急管理。</w:t>
            </w:r>
          </w:p>
        </w:tc>
        <w:tc>
          <w:tcPr>
            <w:tcW w:type="dxa" w:w="3600"/>
            <w:vAlign w:val="top"/>
          </w:tcPr>
          <w:p>
            <w:pPr>
              <w:spacing w:after="60" w:before="60"/>
            </w:pPr>
            <w:r>
              <w:rPr>
                <w:rFonts w:ascii="Times New Roman" w:hAnsi="Times New Roman" w:eastAsia="宋体"/>
                <w:sz w:val="20"/>
              </w:rPr>
              <w:t>【关键条款】</w:t>
              <w:br/>
              <w:t>• 第二十二条：落实人员和财产安全防范措施</w:t>
              <w:br/>
              <w:t>• 第二十二条：建立突发事件预警机制和应急预案</w:t>
              <w:br/>
              <w:br/>
              <w:t>【合规要点】</w:t>
              <w:br/>
              <w:t>• 建立人员安全防范体系</w:t>
              <w:br/>
              <w:t>• 制定应急预案并定期演练</w:t>
              <w:br/>
              <w:t>• 开展安全培训工作</w:t>
              <w:br/>
              <w:t>• 建立突发事件预警机制</w:t>
            </w:r>
          </w:p>
        </w:tc>
      </w:tr>
    </w:tbl>
    <w:p>
      <w:pPr>
        <w:pStyle w:val="Heading2"/>
      </w:pPr>
      <w:r>
        <w:t>合规措施建议</w:t>
      </w:r>
    </w:p>
    <w:p>
      <w:pPr>
        <w:spacing w:after="240"/>
        <w:ind w:firstLine="720"/>
      </w:pPr>
      <w:r>
        <w:t>企业应建立完善的境外投资社会责任管理体系，制定详细的社会责任政策和实施方案。在人力资源管理方面，应建立健全的外派人员管理制度，包括选拔、培训、安全保障等全流程管理。企业需特别重视安全管理，建立突发事件应急响应机制并定期演练。同时，应定期评估境外投资项目在社会责任、劳工保护等方面的合规状况，确保持续符合法规要求，避免因违规而失去国家政策支持。建议企业主动超越法规最低要求，参考国际最佳实践完善健康福利制度。</w:t>
      </w:r>
    </w:p>
    <w:p/>
    <w:p>
      <w:r>
        <w:t>________________________________________________________________________________</w:t>
      </w:r>
    </w:p>
    <w:p>
      <w:pPr>
        <w:jc w:val="center"/>
      </w:pPr>
      <w:r>
        <w:rPr>
          <w:color w:val="808080"/>
          <w:sz w:val="18"/>
        </w:rPr>
        <w:t>生成时间：2025年05月25日 11:19:26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Arial" w:hAnsi="Arial" w:eastAsia="黑体"/>
      <w:b/>
      <w:bCs/>
      <w:color w:val="000000"/>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Arial" w:hAnsi="Arial" w:eastAsia="黑体"/>
      <w:b/>
      <w:bCs/>
      <w:color w:val="333333"/>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Arial" w:hAnsi="Arial" w:eastAsia="黑体"/>
      <w:b/>
      <w:bCs/>
      <w:color w:val="333333"/>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