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eastAsia="黑体"/>
          <w:sz w:val="40"/>
        </w:rPr>
        <w:t xml:space="preserve">境外投资管理办法 </w:t>
        <w:br/>
        <w:t xml:space="preserve"> 法规要求分析报告</w:t>
      </w:r>
    </w:p>
    <w:p>
      <w:pPr>
        <w:pStyle w:val="Heading1"/>
      </w:pPr>
      <w:r>
        <w:t>报告说明</w:t>
      </w:r>
    </w:p>
    <w:p>
      <w:pPr>
        <w:spacing w:after="240"/>
        <w:ind w:firstLine="720"/>
      </w:pPr>
      <w:r>
        <w:t>本报告旨在分析该法规对企业境外投资在8大风险类别和36个子类别下的具体要求。报告重点说明法规规定了什么、要求企业做什么，以及企业应如何满足这些要求。</w:t>
      </w:r>
    </w:p>
    <w:p>
      <w:pPr>
        <w:pStyle w:val="Heading1"/>
      </w:pPr>
      <w:r>
        <w:t>法规整体分析与合规实施建议</w:t>
      </w:r>
    </w:p>
    <w:p>
      <w:pPr>
        <w:pStyle w:val="Heading2"/>
      </w:pPr>
      <w:r>
        <w:t>评分方法与分析框架说明</w:t>
      </w:r>
    </w:p>
    <w:p>
      <w:pPr>
        <w:spacing w:after="240"/>
        <w:ind w:firstLine="720"/>
      </w:pPr>
      <w:r>
        <w:t>本报告采用综合评分方法，对法规在企业境外投资风险管理各个维度的覆盖程度进行量化分析。评分体系旨在帮助企业识别法规要求的重点领域、评估合规管理的优先级，并为建立全面的境外投资风险管理体系提供决策依据。</w:t>
      </w:r>
    </w:p>
    <w:p>
      <w:pPr>
        <w:pStyle w:val="Heading3"/>
      </w:pPr>
      <w:r>
        <w:t>评分标准</w:t>
      </w:r>
    </w:p>
    <w:p>
      <w:pPr>
        <w:ind w:firstLine="720"/>
      </w:pPr>
      <w:r>
        <w:t>评分采用0-100分制，根据法规对各项风险管理要求的覆盖程度进行评定：</w:t>
        <w:br/>
      </w:r>
    </w:p>
    <w:tbl>
      <w:tblPr>
        <w:tblStyle w:val="LightList-Accent1"/>
        <w:tblW w:type="auto" w:w="0"/>
        <w:tblLook w:firstColumn="1" w:firstRow="1" w:lastColumn="0" w:lastRow="0" w:noHBand="0" w:noVBand="1" w:val="04A0"/>
      </w:tblPr>
      <w:tblGrid>
        <w:gridCol w:w="2880"/>
        <w:gridCol w:w="2880"/>
        <w:gridCol w:w="2880"/>
      </w:tblGrid>
      <w:tr>
        <w:tc>
          <w:tcPr>
            <w:tcW w:type="dxa" w:w="2880"/>
          </w:tcPr>
          <w:p>
            <w:r>
              <w:rPr>
                <w:rFonts w:ascii="Arial" w:hAnsi="Arial" w:eastAsia="黑体"/>
                <w:b/>
              </w:rPr>
              <w:t>覆盖等级</w:t>
            </w:r>
          </w:p>
        </w:tc>
        <w:tc>
          <w:tcPr>
            <w:tcW w:type="dxa" w:w="2880"/>
          </w:tcPr>
          <w:p>
            <w:r>
              <w:rPr>
                <w:rFonts w:ascii="Arial" w:hAnsi="Arial" w:eastAsia="黑体"/>
                <w:b/>
              </w:rPr>
              <w:t>分值范围</w:t>
            </w:r>
          </w:p>
        </w:tc>
        <w:tc>
          <w:tcPr>
            <w:tcW w:type="dxa" w:w="2880"/>
          </w:tcPr>
          <w:p>
            <w:r>
              <w:rPr>
                <w:rFonts w:ascii="Arial" w:hAnsi="Arial" w:eastAsia="黑体"/>
                <w:b/>
              </w:rPr>
              <w:t>含义说明</w:t>
            </w:r>
          </w:p>
        </w:tc>
      </w:tr>
      <w:tr>
        <w:tc>
          <w:tcPr>
            <w:tcW w:type="dxa" w:w="2880"/>
          </w:tcPr>
          <w:p>
            <w:r>
              <w:rPr>
                <w:rFonts w:ascii="Times New Roman" w:hAnsi="Times New Roman" w:eastAsia="宋体"/>
              </w:rPr>
              <w:t>完全覆盖</w:t>
            </w:r>
          </w:p>
        </w:tc>
        <w:tc>
          <w:tcPr>
            <w:tcW w:type="dxa" w:w="2880"/>
          </w:tcPr>
          <w:p>
            <w:pPr>
              <w:jc w:val="center"/>
            </w:pPr>
            <w:r>
              <w:rPr>
                <w:rFonts w:ascii="Times New Roman" w:hAnsi="Times New Roman" w:eastAsia="宋体"/>
              </w:rPr>
              <w:t>100分</w:t>
            </w:r>
          </w:p>
        </w:tc>
        <w:tc>
          <w:tcPr>
            <w:tcW w:type="dxa" w:w="2880"/>
          </w:tcPr>
          <w:p>
            <w:r>
              <w:rPr>
                <w:rFonts w:ascii="Times New Roman" w:hAnsi="Times New Roman" w:eastAsia="宋体"/>
              </w:rPr>
              <w:t>法规对该风险管理要求有明确、详细的规定，并提供了具体的实施指引</w:t>
            </w:r>
          </w:p>
        </w:tc>
      </w:tr>
      <w:tr>
        <w:tc>
          <w:tcPr>
            <w:tcW w:type="dxa" w:w="2880"/>
          </w:tcPr>
          <w:p>
            <w:r>
              <w:rPr>
                <w:rFonts w:ascii="Times New Roman" w:hAnsi="Times New Roman" w:eastAsia="宋体"/>
              </w:rPr>
              <w:t>部分覆盖</w:t>
            </w:r>
          </w:p>
        </w:tc>
        <w:tc>
          <w:tcPr>
            <w:tcW w:type="dxa" w:w="2880"/>
          </w:tcPr>
          <w:p>
            <w:pPr>
              <w:jc w:val="center"/>
            </w:pPr>
            <w:r>
              <w:rPr>
                <w:rFonts w:ascii="Times New Roman" w:hAnsi="Times New Roman" w:eastAsia="宋体"/>
              </w:rPr>
              <w:t>75分</w:t>
            </w:r>
          </w:p>
        </w:tc>
        <w:tc>
          <w:tcPr>
            <w:tcW w:type="dxa" w:w="2880"/>
          </w:tcPr>
          <w:p>
            <w:r>
              <w:rPr>
                <w:rFonts w:ascii="Times New Roman" w:hAnsi="Times New Roman" w:eastAsia="宋体"/>
              </w:rPr>
              <w:t>法规对该风险管理要求有相关规定，但规定较为原则性或覆盖不够全面</w:t>
            </w:r>
          </w:p>
        </w:tc>
      </w:tr>
      <w:tr>
        <w:tc>
          <w:tcPr>
            <w:tcW w:type="dxa" w:w="2880"/>
          </w:tcPr>
          <w:p>
            <w:r>
              <w:rPr>
                <w:rFonts w:ascii="Times New Roman" w:hAnsi="Times New Roman" w:eastAsia="宋体"/>
              </w:rPr>
              <w:t>低度覆盖</w:t>
            </w:r>
          </w:p>
        </w:tc>
        <w:tc>
          <w:tcPr>
            <w:tcW w:type="dxa" w:w="2880"/>
          </w:tcPr>
          <w:p>
            <w:pPr>
              <w:jc w:val="center"/>
            </w:pPr>
            <w:r>
              <w:rPr>
                <w:rFonts w:ascii="Times New Roman" w:hAnsi="Times New Roman" w:eastAsia="宋体"/>
              </w:rPr>
              <w:t>15分</w:t>
            </w:r>
          </w:p>
        </w:tc>
        <w:tc>
          <w:tcPr>
            <w:tcW w:type="dxa" w:w="2880"/>
          </w:tcPr>
          <w:p>
            <w:r>
              <w:rPr>
                <w:rFonts w:ascii="Times New Roman" w:hAnsi="Times New Roman" w:eastAsia="宋体"/>
              </w:rPr>
              <w:t>法规仅对该风险管理要求有少量提及或间接涉及</w:t>
            </w:r>
          </w:p>
        </w:tc>
      </w:tr>
      <w:tr>
        <w:tc>
          <w:tcPr>
            <w:tcW w:type="dxa" w:w="2880"/>
          </w:tcPr>
          <w:p>
            <w:r>
              <w:rPr>
                <w:rFonts w:ascii="Times New Roman" w:hAnsi="Times New Roman" w:eastAsia="宋体"/>
              </w:rPr>
              <w:t>未覆盖</w:t>
            </w:r>
          </w:p>
        </w:tc>
        <w:tc>
          <w:tcPr>
            <w:tcW w:type="dxa" w:w="2880"/>
          </w:tcPr>
          <w:p>
            <w:pPr>
              <w:jc w:val="center"/>
            </w:pPr>
            <w:r>
              <w:rPr>
                <w:rFonts w:ascii="Times New Roman" w:hAnsi="Times New Roman" w:eastAsia="宋体"/>
              </w:rPr>
              <w:t>0分</w:t>
            </w:r>
          </w:p>
        </w:tc>
        <w:tc>
          <w:tcPr>
            <w:tcW w:type="dxa" w:w="2880"/>
          </w:tcPr>
          <w:p>
            <w:r>
              <w:rPr>
                <w:rFonts w:ascii="Times New Roman" w:hAnsi="Times New Roman" w:eastAsia="宋体"/>
              </w:rPr>
              <w:t>法规未涉及该风险管理要求</w:t>
            </w:r>
          </w:p>
        </w:tc>
      </w:tr>
    </w:tbl>
    <w:p/>
    <w:p>
      <w:pPr>
        <w:pStyle w:val="Heading3"/>
      </w:pPr>
      <w:r>
        <w:t>风险管理框架</w:t>
      </w:r>
    </w:p>
    <w:p>
      <w:pPr>
        <w:spacing w:after="160"/>
        <w:ind w:firstLine="720"/>
      </w:pPr>
      <w:r>
        <w:t>本报告基于企业境外投资风险管理最佳实践，构建了8大类、35个子类的全面风险管理框架，涵盖了企业境外投资全生命周期的主要风险领域：</w:t>
      </w:r>
    </w:p>
    <w:p/>
    <w:p>
      <w:pPr>
        <w:spacing w:after="120"/>
        <w:ind w:left="720"/>
      </w:pPr>
      <w:r>
        <w:rPr>
          <w:rFonts w:ascii="Arial" w:hAnsi="Arial" w:eastAsia="黑体"/>
          <w:b/>
        </w:rPr>
        <w:t>一、治理与战略</w:t>
      </w:r>
      <w:r>
        <w:rPr>
          <w:rFonts w:ascii="Times New Roman" w:hAnsi="Times New Roman" w:eastAsia="宋体"/>
        </w:rPr>
        <w:t>：涵盖海外业务治理结构、董事会职责、战略规划等</w:t>
      </w:r>
    </w:p>
    <w:p>
      <w:pPr>
        <w:spacing w:after="120"/>
        <w:ind w:left="720"/>
      </w:pPr>
      <w:r>
        <w:rPr>
          <w:rFonts w:ascii="Arial" w:hAnsi="Arial" w:eastAsia="黑体"/>
          <w:b/>
        </w:rPr>
        <w:t>二、全面风险管理</w:t>
      </w:r>
      <w:r>
        <w:rPr>
          <w:rFonts w:ascii="Times New Roman" w:hAnsi="Times New Roman" w:eastAsia="宋体"/>
        </w:rPr>
        <w:t>：包括风险管理体系、风险评估、监测预警等</w:t>
      </w:r>
    </w:p>
    <w:p>
      <w:pPr>
        <w:spacing w:after="120"/>
        <w:ind w:left="720"/>
      </w:pPr>
      <w:r>
        <w:rPr>
          <w:rFonts w:ascii="Arial" w:hAnsi="Arial" w:eastAsia="黑体"/>
          <w:b/>
        </w:rPr>
        <w:t>三、合规与法律</w:t>
      </w:r>
      <w:r>
        <w:rPr>
          <w:rFonts w:ascii="Times New Roman" w:hAnsi="Times New Roman" w:eastAsia="宋体"/>
        </w:rPr>
        <w:t>：涉及合规管理体系、反腐败、制裁、数据保护等</w:t>
      </w:r>
    </w:p>
    <w:p>
      <w:pPr>
        <w:spacing w:after="120"/>
        <w:ind w:left="720"/>
      </w:pPr>
      <w:r>
        <w:rPr>
          <w:rFonts w:ascii="Arial" w:hAnsi="Arial" w:eastAsia="黑体"/>
          <w:b/>
        </w:rPr>
        <w:t>四、财务与市场风险</w:t>
      </w:r>
      <w:r>
        <w:rPr>
          <w:rFonts w:ascii="Times New Roman" w:hAnsi="Times New Roman" w:eastAsia="宋体"/>
        </w:rPr>
        <w:t>：包含汇率、商品价格、资金流动性管理等</w:t>
      </w:r>
    </w:p>
    <w:p>
      <w:pPr>
        <w:spacing w:after="120"/>
        <w:ind w:left="720"/>
      </w:pPr>
      <w:r>
        <w:rPr>
          <w:rFonts w:ascii="Arial" w:hAnsi="Arial" w:eastAsia="黑体"/>
          <w:b/>
        </w:rPr>
        <w:t>五、运营与HSE</w:t>
      </w:r>
      <w:r>
        <w:rPr>
          <w:rFonts w:ascii="Times New Roman" w:hAnsi="Times New Roman" w:eastAsia="宋体"/>
        </w:rPr>
        <w:t>：覆盖环境保护、生产安全、供应链管理等</w:t>
      </w:r>
    </w:p>
    <w:p>
      <w:pPr>
        <w:spacing w:after="120"/>
        <w:ind w:left="720"/>
      </w:pPr>
      <w:r>
        <w:rPr>
          <w:rFonts w:ascii="Arial" w:hAnsi="Arial" w:eastAsia="黑体"/>
          <w:b/>
        </w:rPr>
        <w:t>六、安全与危机</w:t>
      </w:r>
      <w:r>
        <w:rPr>
          <w:rFonts w:ascii="Times New Roman" w:hAnsi="Times New Roman" w:eastAsia="宋体"/>
        </w:rPr>
        <w:t>：涉及安全防护、应急管理、业务连续性等</w:t>
      </w:r>
    </w:p>
    <w:p>
      <w:pPr>
        <w:spacing w:after="120"/>
        <w:ind w:left="720"/>
      </w:pPr>
      <w:r>
        <w:rPr>
          <w:rFonts w:ascii="Arial" w:hAnsi="Arial" w:eastAsia="黑体"/>
          <w:b/>
        </w:rPr>
        <w:t>七、信息与网络安全</w:t>
      </w:r>
      <w:r>
        <w:rPr>
          <w:rFonts w:ascii="Times New Roman" w:hAnsi="Times New Roman" w:eastAsia="宋体"/>
        </w:rPr>
        <w:t>：包括网络安全、数据安全、技术系统保护等</w:t>
      </w:r>
    </w:p>
    <w:p>
      <w:pPr>
        <w:spacing w:after="120"/>
        <w:ind w:left="720"/>
      </w:pPr>
      <w:r>
        <w:rPr>
          <w:rFonts w:ascii="Arial" w:hAnsi="Arial" w:eastAsia="黑体"/>
          <w:b/>
        </w:rPr>
        <w:t>八、社会责任与人力</w:t>
      </w:r>
      <w:r>
        <w:rPr>
          <w:rFonts w:ascii="Times New Roman" w:hAnsi="Times New Roman" w:eastAsia="宋体"/>
        </w:rPr>
        <w:t>：涵盖社会责任、文化融合、人力资源管理等</w:t>
      </w:r>
    </w:p>
    <w:p/>
    <w:p>
      <w:pPr>
        <w:spacing w:after="240"/>
        <w:ind w:firstLine="720"/>
      </w:pPr>
      <w:r>
        <w:t>通过对法规在上述框架下的覆盖程度进行系统评分，企业可以：</w:t>
        <w:br/>
        <w:t>1. 识别法规重点监管的风险领域</w:t>
        <w:br/>
        <w:t>2. 发现法规覆盖的空白点，需要企业自主加强管理</w:t>
        <w:br/>
        <w:t>3. 制定有针对性的合规管理措施</w:t>
        <w:br/>
        <w:t>4. 优化资源配置，确保重点领域的合规投入</w:t>
      </w:r>
    </w:p>
    <w:p>
      <w:pPr>
        <w:spacing w:after="240"/>
      </w:pPr>
      <w:r>
        <w:rPr>
          <w:i/>
          <w:sz w:val="22"/>
        </w:rPr>
        <w:t>以下通过热力图和数据表格展示法规在各风险管理维度的覆盖情况分析结果：</w:t>
      </w:r>
    </w:p>
    <w:p>
      <w:r>
        <w:t>________________________________________________________________________________</w:t>
      </w:r>
    </w:p>
    <w:p/>
    <w:p>
      <w:pPr>
        <w:pStyle w:val="Heading2"/>
      </w:pPr>
      <w:r>
        <w:t>风险类别覆盖度分析</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rPr>
              <w:t>风险类别</w:t>
            </w:r>
          </w:p>
        </w:tc>
        <w:tc>
          <w:tcPr>
            <w:tcW w:type="dxa" w:w="2160"/>
            <w:shd w:fill="E0E0E0"/>
          </w:tcPr>
          <w:p>
            <w:pPr>
              <w:jc w:val="center"/>
            </w:pPr>
            <w:r>
              <w:rPr>
                <w:rFonts w:ascii="Arial" w:hAnsi="Arial" w:eastAsia="黑体"/>
                <w:b/>
              </w:rPr>
              <w:t>平均分</w:t>
            </w:r>
          </w:p>
        </w:tc>
        <w:tc>
          <w:tcPr>
            <w:tcW w:type="dxa" w:w="2160"/>
            <w:shd w:fill="E0E0E0"/>
          </w:tcPr>
          <w:p>
            <w:pPr>
              <w:jc w:val="center"/>
            </w:pPr>
            <w:r>
              <w:rPr>
                <w:rFonts w:ascii="Arial" w:hAnsi="Arial" w:eastAsia="黑体"/>
                <w:b/>
              </w:rPr>
              <w:t>最高分</w:t>
            </w:r>
          </w:p>
        </w:tc>
        <w:tc>
          <w:tcPr>
            <w:tcW w:type="dxa" w:w="2160"/>
            <w:shd w:fill="E0E0E0"/>
          </w:tcPr>
          <w:p>
            <w:pPr>
              <w:jc w:val="center"/>
            </w:pPr>
            <w:r>
              <w:rPr>
                <w:rFonts w:ascii="Arial" w:hAnsi="Arial" w:eastAsia="黑体"/>
                <w:b/>
              </w:rPr>
              <w:t>最低分</w:t>
            </w:r>
          </w:p>
        </w:tc>
      </w:tr>
      <w:tr>
        <w:tc>
          <w:tcPr>
            <w:tcW w:type="dxa" w:w="2160"/>
          </w:tcPr>
          <w:p>
            <w:r>
              <w:rPr>
                <w:rFonts w:ascii="Times New Roman" w:hAnsi="Times New Roman" w:eastAsia="宋体"/>
              </w:rPr>
              <w:t>一、治理与战略</w:t>
            </w:r>
          </w:p>
        </w:tc>
        <w:tc>
          <w:tcPr>
            <w:tcW w:type="dxa" w:w="2160"/>
          </w:tcPr>
          <w:p>
            <w:pPr>
              <w:jc w:val="center"/>
            </w:pPr>
            <w:r>
              <w:rPr>
                <w:rFonts w:ascii="Times New Roman" w:hAnsi="Times New Roman" w:eastAsia="宋体"/>
              </w:rPr>
              <w:t>70.6</w:t>
            </w:r>
          </w:p>
        </w:tc>
        <w:tc>
          <w:tcPr>
            <w:tcW w:type="dxa" w:w="2160"/>
          </w:tcPr>
          <w:p>
            <w:pPr>
              <w:jc w:val="center"/>
            </w:pPr>
            <w:r>
              <w:rPr>
                <w:rFonts w:ascii="Times New Roman" w:hAnsi="Times New Roman" w:eastAsia="宋体"/>
              </w:rPr>
              <w:t>100</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二、全面风险管理</w:t>
            </w:r>
          </w:p>
        </w:tc>
        <w:tc>
          <w:tcPr>
            <w:tcW w:type="dxa" w:w="2160"/>
          </w:tcPr>
          <w:p>
            <w:pPr>
              <w:jc w:val="center"/>
            </w:pPr>
            <w:r>
              <w:rPr>
                <w:rFonts w:ascii="Times New Roman" w:hAnsi="Times New Roman" w:eastAsia="宋体"/>
              </w:rPr>
              <w:t>52.1</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三、合规与法律</w:t>
            </w:r>
          </w:p>
        </w:tc>
        <w:tc>
          <w:tcPr>
            <w:tcW w:type="dxa" w:w="2160"/>
          </w:tcPr>
          <w:p>
            <w:pPr>
              <w:jc w:val="center"/>
            </w:pPr>
            <w:r>
              <w:rPr>
                <w:rFonts w:ascii="Times New Roman" w:hAnsi="Times New Roman" w:eastAsia="宋体"/>
              </w:rPr>
              <w:t>35.0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四、财务与市场风险</w:t>
            </w:r>
          </w:p>
        </w:tc>
        <w:tc>
          <w:tcPr>
            <w:tcW w:type="dxa" w:w="2160"/>
          </w:tcPr>
          <w:p>
            <w:pPr>
              <w:jc w:val="center"/>
            </w:pPr>
            <w:r>
              <w:rPr>
                <w:rFonts w:ascii="Times New Roman" w:hAnsi="Times New Roman" w:eastAsia="宋体"/>
              </w:rPr>
              <w:t>25.9</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五、运营与 HSE</w:t>
            </w:r>
          </w:p>
        </w:tc>
        <w:tc>
          <w:tcPr>
            <w:tcW w:type="dxa" w:w="2160"/>
          </w:tcPr>
          <w:p>
            <w:pPr>
              <w:jc w:val="center"/>
            </w:pPr>
            <w:r>
              <w:rPr>
                <w:rFonts w:ascii="Times New Roman" w:hAnsi="Times New Roman" w:eastAsia="宋体"/>
              </w:rPr>
              <w:t>55.4</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0</w:t>
            </w:r>
          </w:p>
        </w:tc>
      </w:tr>
      <w:tr>
        <w:tc>
          <w:tcPr>
            <w:tcW w:type="dxa" w:w="2160"/>
          </w:tcPr>
          <w:p>
            <w:r>
              <w:rPr>
                <w:rFonts w:ascii="Times New Roman" w:hAnsi="Times New Roman" w:eastAsia="宋体"/>
              </w:rPr>
              <w:t>六、安全与危机</w:t>
            </w:r>
          </w:p>
        </w:tc>
        <w:tc>
          <w:tcPr>
            <w:tcW w:type="dxa" w:w="2160"/>
          </w:tcPr>
          <w:p>
            <w:pPr>
              <w:jc w:val="center"/>
            </w:pPr>
            <w:r>
              <w:rPr>
                <w:rFonts w:ascii="Times New Roman" w:hAnsi="Times New Roman" w:eastAsia="宋体"/>
              </w:rPr>
              <w:t>48.3</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七、信息与网络安全</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c>
          <w:tcPr>
            <w:tcW w:type="dxa" w:w="2160"/>
          </w:tcPr>
          <w:p>
            <w:pPr>
              <w:jc w:val="center"/>
            </w:pPr>
            <w:r>
              <w:rPr>
                <w:rFonts w:ascii="Times New Roman" w:hAnsi="Times New Roman" w:eastAsia="宋体"/>
              </w:rPr>
              <w:t>0</w:t>
            </w:r>
          </w:p>
        </w:tc>
      </w:tr>
      <w:tr>
        <w:tc>
          <w:tcPr>
            <w:tcW w:type="dxa" w:w="2160"/>
          </w:tcPr>
          <w:p>
            <w:r>
              <w:rPr>
                <w:rFonts w:ascii="Times New Roman" w:hAnsi="Times New Roman" w:eastAsia="宋体"/>
              </w:rPr>
              <w:t>八、社会责任与人力</w:t>
            </w:r>
          </w:p>
        </w:tc>
        <w:tc>
          <w:tcPr>
            <w:tcW w:type="dxa" w:w="2160"/>
          </w:tcPr>
          <w:p>
            <w:pPr>
              <w:jc w:val="center"/>
            </w:pPr>
            <w:r>
              <w:rPr>
                <w:rFonts w:ascii="Times New Roman" w:hAnsi="Times New Roman" w:eastAsia="宋体"/>
              </w:rPr>
              <w:t>75.0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75</w:t>
            </w:r>
          </w:p>
        </w:tc>
      </w:tr>
    </w:tbl>
    <w:p/>
    <w:p>
      <w:pPr>
        <w:pStyle w:val="Heading2"/>
      </w:pPr>
      <w:r>
        <w:t>详细要求覆盖度排名</w:t>
      </w:r>
    </w:p>
    <w:tbl>
      <w:tblPr>
        <w:tblStyle w:val="LightGrid-Accent1"/>
        <w:tblW w:type="auto" w:w="0"/>
        <w:tblLook w:firstColumn="1" w:firstRow="1" w:lastColumn="0" w:lastRow="0" w:noHBand="0" w:noVBand="1" w:val="04A0"/>
      </w:tblPr>
      <w:tblGrid>
        <w:gridCol w:w="2160"/>
        <w:gridCol w:w="2160"/>
        <w:gridCol w:w="2160"/>
        <w:gridCol w:w="2160"/>
      </w:tblGrid>
      <w:tr>
        <w:tc>
          <w:tcPr>
            <w:tcW w:type="dxa" w:w="1152"/>
            <w:shd w:fill="E0E0E0"/>
          </w:tcPr>
          <w:p>
            <w:pPr>
              <w:jc w:val="center"/>
            </w:pPr>
            <w:r>
              <w:rPr>
                <w:rFonts w:ascii="Arial" w:hAnsi="Arial" w:eastAsia="黑体"/>
                <w:b/>
              </w:rPr>
              <w:t>排名</w:t>
            </w:r>
          </w:p>
        </w:tc>
        <w:tc>
          <w:tcPr>
            <w:tcW w:type="dxa" w:w="5760"/>
            <w:shd w:fill="E0E0E0"/>
          </w:tcPr>
          <w:p>
            <w:pPr>
              <w:jc w:val="center"/>
            </w:pPr>
            <w:r>
              <w:rPr>
                <w:rFonts w:ascii="Arial" w:hAnsi="Arial" w:eastAsia="黑体"/>
                <w:b/>
              </w:rPr>
              <w:t>要求名称</w:t>
            </w:r>
          </w:p>
        </w:tc>
        <w:tc>
          <w:tcPr>
            <w:tcW w:type="dxa" w:w="2880"/>
            <w:shd w:fill="E0E0E0"/>
          </w:tcPr>
          <w:p>
            <w:pPr>
              <w:jc w:val="center"/>
            </w:pPr>
            <w:r>
              <w:rPr>
                <w:rFonts w:ascii="Arial" w:hAnsi="Arial" w:eastAsia="黑体"/>
                <w:b/>
              </w:rPr>
              <w:t>所属类别</w:t>
            </w:r>
          </w:p>
        </w:tc>
        <w:tc>
          <w:tcPr>
            <w:tcW w:type="dxa" w:w="1440"/>
            <w:shd w:fill="E0E0E0"/>
          </w:tcPr>
          <w:p>
            <w:pPr>
              <w:jc w:val="center"/>
            </w:pPr>
            <w:r>
              <w:rPr>
                <w:rFonts w:ascii="Arial" w:hAnsi="Arial" w:eastAsia="黑体"/>
                <w:b/>
              </w:rPr>
              <w:t>平均分</w:t>
            </w:r>
          </w:p>
        </w:tc>
      </w:tr>
      <w:tr>
        <w:tc>
          <w:tcPr>
            <w:tcW w:type="dxa" w:w="1152"/>
          </w:tcPr>
          <w:p>
            <w:pPr>
              <w:jc w:val="center"/>
            </w:pPr>
            <w:r>
              <w:rPr>
                <w:rFonts w:ascii="Times New Roman" w:hAnsi="Times New Roman" w:eastAsia="宋体"/>
              </w:rPr>
              <w:t>1</w:t>
            </w:r>
          </w:p>
        </w:tc>
        <w:tc>
          <w:tcPr>
            <w:tcW w:type="dxa" w:w="5760"/>
          </w:tcPr>
          <w:p>
            <w:r>
              <w:rPr>
                <w:rFonts w:ascii="Times New Roman" w:hAnsi="Times New Roman" w:eastAsia="宋体"/>
              </w:rPr>
              <w:t>14. 贸易制裁与出口管制合规指引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008000"/>
              </w:rPr>
              <w:t>91.7</w:t>
            </w:r>
          </w:p>
        </w:tc>
      </w:tr>
      <w:tr>
        <w:tc>
          <w:tcPr>
            <w:tcW w:type="dxa" w:w="1152"/>
          </w:tcPr>
          <w:p>
            <w:pPr>
              <w:jc w:val="center"/>
            </w:pPr>
            <w:r>
              <w:rPr>
                <w:rFonts w:ascii="Times New Roman" w:hAnsi="Times New Roman" w:eastAsia="宋体"/>
              </w:rPr>
              <w:t>2</w:t>
            </w:r>
          </w:p>
        </w:tc>
        <w:tc>
          <w:tcPr>
            <w:tcW w:type="dxa" w:w="5760"/>
          </w:tcPr>
          <w:p>
            <w:r>
              <w:rPr>
                <w:rFonts w:ascii="Times New Roman" w:hAnsi="Times New Roman" w:eastAsia="宋体"/>
              </w:rPr>
              <w:t>1. 海外业务治理与决策管理办法</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008000"/>
              </w:rPr>
              <w:t>83.3</w:t>
            </w:r>
          </w:p>
        </w:tc>
      </w:tr>
      <w:tr>
        <w:tc>
          <w:tcPr>
            <w:tcW w:type="dxa" w:w="1152"/>
          </w:tcPr>
          <w:p>
            <w:pPr>
              <w:jc w:val="center"/>
            </w:pPr>
            <w:r>
              <w:rPr>
                <w:rFonts w:ascii="Times New Roman" w:hAnsi="Times New Roman" w:eastAsia="宋体"/>
              </w:rPr>
              <w:t>3</w:t>
            </w:r>
          </w:p>
        </w:tc>
        <w:tc>
          <w:tcPr>
            <w:tcW w:type="dxa" w:w="5760"/>
          </w:tcPr>
          <w:p>
            <w:r>
              <w:rPr>
                <w:rFonts w:ascii="Times New Roman" w:hAnsi="Times New Roman" w:eastAsia="宋体"/>
              </w:rPr>
              <w:t>4. 战略规划与投资决策流程规范</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4</w:t>
            </w:r>
          </w:p>
        </w:tc>
        <w:tc>
          <w:tcPr>
            <w:tcW w:type="dxa" w:w="5760"/>
          </w:tcPr>
          <w:p>
            <w:r>
              <w:rPr>
                <w:rFonts w:ascii="Times New Roman" w:hAnsi="Times New Roman" w:eastAsia="宋体"/>
              </w:rPr>
              <w:t>5. 海外全面风险管理基本制度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5</w:t>
            </w:r>
          </w:p>
        </w:tc>
        <w:tc>
          <w:tcPr>
            <w:tcW w:type="dxa" w:w="5760"/>
          </w:tcPr>
          <w:p>
            <w:r>
              <w:rPr>
                <w:rFonts w:ascii="Times New Roman" w:hAnsi="Times New Roman" w:eastAsia="宋体"/>
              </w:rPr>
              <w:t>7. 风险识别评估与分级管理办法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6</w:t>
            </w:r>
          </w:p>
        </w:tc>
        <w:tc>
          <w:tcPr>
            <w:tcW w:type="dxa" w:w="5760"/>
          </w:tcPr>
          <w:p>
            <w:r>
              <w:rPr>
                <w:rFonts w:ascii="Times New Roman" w:hAnsi="Times New Roman" w:eastAsia="宋体"/>
              </w:rPr>
              <w:t>8. 风险监测预警与报告制度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7</w:t>
            </w:r>
          </w:p>
        </w:tc>
        <w:tc>
          <w:tcPr>
            <w:tcW w:type="dxa" w:w="5760"/>
          </w:tcPr>
          <w:p>
            <w:r>
              <w:rPr>
                <w:rFonts w:ascii="Times New Roman" w:hAnsi="Times New Roman" w:eastAsia="宋体"/>
              </w:rPr>
              <w:t>12. 全球合规管理体系文件（ISO 37301 对标）</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8</w:t>
            </w:r>
          </w:p>
        </w:tc>
        <w:tc>
          <w:tcPr>
            <w:tcW w:type="dxa" w:w="5760"/>
          </w:tcPr>
          <w:p>
            <w:r>
              <w:rPr>
                <w:rFonts w:ascii="Times New Roman" w:hAnsi="Times New Roman" w:eastAsia="宋体"/>
              </w:rPr>
              <w:t>22. 海外 HSE 管理体系标准</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9</w:t>
            </w:r>
          </w:p>
        </w:tc>
        <w:tc>
          <w:tcPr>
            <w:tcW w:type="dxa" w:w="5760"/>
          </w:tcPr>
          <w:p>
            <w:r>
              <w:rPr>
                <w:rFonts w:ascii="Times New Roman" w:hAnsi="Times New Roman" w:eastAsia="宋体"/>
              </w:rPr>
              <w:t>23. 环境与气候变化管理办法（ESG）</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10</w:t>
            </w:r>
          </w:p>
        </w:tc>
        <w:tc>
          <w:tcPr>
            <w:tcW w:type="dxa" w:w="5760"/>
          </w:tcPr>
          <w:p>
            <w:r>
              <w:rPr>
                <w:rFonts w:ascii="Times New Roman" w:hAnsi="Times New Roman" w:eastAsia="宋体"/>
              </w:rPr>
              <w:t>24. 生产安全事故预防与应急制度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11</w:t>
            </w:r>
          </w:p>
        </w:tc>
        <w:tc>
          <w:tcPr>
            <w:tcW w:type="dxa" w:w="5760"/>
          </w:tcPr>
          <w:p>
            <w:r>
              <w:rPr>
                <w:rFonts w:ascii="Times New Roman" w:hAnsi="Times New Roman" w:eastAsia="宋体"/>
              </w:rPr>
              <w:t>27. 海外安全防护与人员安保管理办法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12</w:t>
            </w:r>
          </w:p>
        </w:tc>
        <w:tc>
          <w:tcPr>
            <w:tcW w:type="dxa" w:w="5760"/>
          </w:tcPr>
          <w:p>
            <w:r>
              <w:rPr>
                <w:rFonts w:ascii="Times New Roman" w:hAnsi="Times New Roman" w:eastAsia="宋体"/>
              </w:rPr>
              <w:t>34. 人权与劳工标准政策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13</w:t>
            </w:r>
          </w:p>
        </w:tc>
        <w:tc>
          <w:tcPr>
            <w:tcW w:type="dxa" w:w="5760"/>
          </w:tcPr>
          <w:p>
            <w:r>
              <w:rPr>
                <w:rFonts w:ascii="Times New Roman" w:hAnsi="Times New Roman" w:eastAsia="宋体"/>
              </w:rPr>
              <w:t>35. 海外员工健康与福利管理制度</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14</w:t>
            </w:r>
          </w:p>
        </w:tc>
        <w:tc>
          <w:tcPr>
            <w:tcW w:type="dxa" w:w="5760"/>
          </w:tcPr>
          <w:p>
            <w:r>
              <w:rPr>
                <w:rFonts w:ascii="Times New Roman" w:hAnsi="Times New Roman" w:eastAsia="宋体"/>
              </w:rPr>
              <w:t>13. 反腐败与反贿赂政策</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63.3</w:t>
            </w:r>
          </w:p>
        </w:tc>
      </w:tr>
      <w:tr>
        <w:tc>
          <w:tcPr>
            <w:tcW w:type="dxa" w:w="1152"/>
          </w:tcPr>
          <w:p>
            <w:pPr>
              <w:jc w:val="center"/>
            </w:pPr>
            <w:r>
              <w:rPr>
                <w:rFonts w:ascii="Times New Roman" w:hAnsi="Times New Roman" w:eastAsia="宋体"/>
              </w:rPr>
              <w:t>15</w:t>
            </w:r>
          </w:p>
        </w:tc>
        <w:tc>
          <w:tcPr>
            <w:tcW w:type="dxa" w:w="5760"/>
          </w:tcPr>
          <w:p>
            <w:r>
              <w:rPr>
                <w:rFonts w:ascii="Times New Roman" w:hAnsi="Times New Roman" w:eastAsia="宋体"/>
              </w:rPr>
              <w:t>9. 风险应对与缓释措施管理办法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55.0</w:t>
            </w:r>
          </w:p>
        </w:tc>
      </w:tr>
      <w:tr>
        <w:tc>
          <w:tcPr>
            <w:tcW w:type="dxa" w:w="1152"/>
          </w:tcPr>
          <w:p>
            <w:pPr>
              <w:jc w:val="center"/>
            </w:pPr>
            <w:r>
              <w:rPr>
                <w:rFonts w:ascii="Times New Roman" w:hAnsi="Times New Roman" w:eastAsia="宋体"/>
              </w:rPr>
              <w:t>16</w:t>
            </w:r>
          </w:p>
        </w:tc>
        <w:tc>
          <w:tcPr>
            <w:tcW w:type="dxa" w:w="5760"/>
          </w:tcPr>
          <w:p>
            <w:r>
              <w:rPr>
                <w:rFonts w:ascii="Times New Roman" w:hAnsi="Times New Roman" w:eastAsia="宋体"/>
              </w:rPr>
              <w:t>28. 危机管理与业务连续性计划(BCP)制度</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8C00"/>
              </w:rPr>
              <w:t>55.0</w:t>
            </w:r>
          </w:p>
        </w:tc>
      </w:tr>
      <w:tr>
        <w:tc>
          <w:tcPr>
            <w:tcW w:type="dxa" w:w="1152"/>
          </w:tcPr>
          <w:p>
            <w:pPr>
              <w:jc w:val="center"/>
            </w:pPr>
            <w:r>
              <w:rPr>
                <w:rFonts w:ascii="Times New Roman" w:hAnsi="Times New Roman" w:eastAsia="宋体"/>
              </w:rPr>
              <w:t>17</w:t>
            </w:r>
          </w:p>
        </w:tc>
        <w:tc>
          <w:tcPr>
            <w:tcW w:type="dxa" w:w="5760"/>
          </w:tcPr>
          <w:p>
            <w:r>
              <w:rPr>
                <w:rFonts w:ascii="Times New Roman" w:hAnsi="Times New Roman" w:eastAsia="宋体"/>
              </w:rPr>
              <w:t>2. 董事会海外风险监督细则</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18</w:t>
            </w:r>
          </w:p>
        </w:tc>
        <w:tc>
          <w:tcPr>
            <w:tcW w:type="dxa" w:w="5760"/>
          </w:tcPr>
          <w:p>
            <w:r>
              <w:rPr>
                <w:rFonts w:ascii="Times New Roman" w:hAnsi="Times New Roman" w:eastAsia="宋体"/>
              </w:rPr>
              <w:t>33. 社区关系与社会责任(CSR)政策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19</w:t>
            </w:r>
          </w:p>
        </w:tc>
        <w:tc>
          <w:tcPr>
            <w:tcW w:type="dxa" w:w="5760"/>
          </w:tcPr>
          <w:p>
            <w:r>
              <w:rPr>
                <w:rFonts w:ascii="Times New Roman" w:hAnsi="Times New Roman" w:eastAsia="宋体"/>
              </w:rPr>
              <w:t>6. 风险偏好与容忍度政策</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35.0</w:t>
            </w:r>
          </w:p>
        </w:tc>
      </w:tr>
      <w:tr>
        <w:tc>
          <w:tcPr>
            <w:tcW w:type="dxa" w:w="1152"/>
          </w:tcPr>
          <w:p>
            <w:pPr>
              <w:jc w:val="center"/>
            </w:pPr>
            <w:r>
              <w:rPr>
                <w:rFonts w:ascii="Times New Roman" w:hAnsi="Times New Roman" w:eastAsia="宋体"/>
              </w:rPr>
              <w:t>20</w:t>
            </w:r>
          </w:p>
        </w:tc>
        <w:tc>
          <w:tcPr>
            <w:tcW w:type="dxa" w:w="5760"/>
          </w:tcPr>
          <w:p>
            <w:r>
              <w:rPr>
                <w:rFonts w:ascii="Times New Roman" w:hAnsi="Times New Roman" w:eastAsia="宋体"/>
              </w:rPr>
              <w:t>10. 风险事件管理与调查制度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35.0</w:t>
            </w:r>
          </w:p>
        </w:tc>
      </w:tr>
      <w:tr>
        <w:tc>
          <w:tcPr>
            <w:tcW w:type="dxa" w:w="1152"/>
          </w:tcPr>
          <w:p>
            <w:pPr>
              <w:jc w:val="center"/>
            </w:pPr>
            <w:r>
              <w:rPr>
                <w:rFonts w:ascii="Times New Roman" w:hAnsi="Times New Roman" w:eastAsia="宋体"/>
              </w:rPr>
              <w:t>21</w:t>
            </w:r>
          </w:p>
        </w:tc>
        <w:tc>
          <w:tcPr>
            <w:tcW w:type="dxa" w:w="5760"/>
          </w:tcPr>
          <w:p>
            <w:r>
              <w:rPr>
                <w:rFonts w:ascii="Times New Roman" w:hAnsi="Times New Roman" w:eastAsia="宋体"/>
              </w:rPr>
              <w:t>17. 第三方尽职调查和诚信审查程序</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35.0</w:t>
            </w:r>
          </w:p>
        </w:tc>
      </w:tr>
      <w:tr>
        <w:tc>
          <w:tcPr>
            <w:tcW w:type="dxa" w:w="1152"/>
          </w:tcPr>
          <w:p>
            <w:pPr>
              <w:jc w:val="center"/>
            </w:pPr>
            <w:r>
              <w:rPr>
                <w:rFonts w:ascii="Times New Roman" w:hAnsi="Times New Roman" w:eastAsia="宋体"/>
              </w:rPr>
              <w:t>22</w:t>
            </w:r>
          </w:p>
        </w:tc>
        <w:tc>
          <w:tcPr>
            <w:tcW w:type="dxa" w:w="5760"/>
          </w:tcPr>
          <w:p>
            <w:r>
              <w:rPr>
                <w:rFonts w:ascii="Times New Roman" w:hAnsi="Times New Roman" w:eastAsia="宋体"/>
              </w:rPr>
              <w:t>21. 资金集中与流动性管理办法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35.0</w:t>
            </w:r>
          </w:p>
        </w:tc>
      </w:tr>
      <w:tr>
        <w:tc>
          <w:tcPr>
            <w:tcW w:type="dxa" w:w="1152"/>
          </w:tcPr>
          <w:p>
            <w:pPr>
              <w:jc w:val="center"/>
            </w:pPr>
            <w:r>
              <w:rPr>
                <w:rFonts w:ascii="Times New Roman" w:hAnsi="Times New Roman" w:eastAsia="宋体"/>
              </w:rPr>
              <w:t>23</w:t>
            </w:r>
          </w:p>
        </w:tc>
        <w:tc>
          <w:tcPr>
            <w:tcW w:type="dxa" w:w="5760"/>
          </w:tcPr>
          <w:p>
            <w:r>
              <w:rPr>
                <w:rFonts w:ascii="Times New Roman" w:hAnsi="Times New Roman" w:eastAsia="宋体"/>
              </w:rPr>
              <w:t>3. 海外子公司管理授权与责任制度</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24</w:t>
            </w:r>
          </w:p>
        </w:tc>
        <w:tc>
          <w:tcPr>
            <w:tcW w:type="dxa" w:w="5760"/>
          </w:tcPr>
          <w:p>
            <w:r>
              <w:rPr>
                <w:rFonts w:ascii="Times New Roman" w:hAnsi="Times New Roman" w:eastAsia="宋体"/>
              </w:rPr>
              <w:t>20. 信用风险管理制度</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25</w:t>
            </w:r>
          </w:p>
        </w:tc>
        <w:tc>
          <w:tcPr>
            <w:tcW w:type="dxa" w:w="5760"/>
          </w:tcPr>
          <w:p>
            <w:r>
              <w:rPr>
                <w:rFonts w:ascii="Times New Roman" w:hAnsi="Times New Roman" w:eastAsia="宋体"/>
              </w:rPr>
              <w:t>11. 风险管理成熟度与绩效评估制度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26</w:t>
            </w:r>
          </w:p>
        </w:tc>
        <w:tc>
          <w:tcPr>
            <w:tcW w:type="dxa" w:w="5760"/>
          </w:tcPr>
          <w:p>
            <w:r>
              <w:rPr>
                <w:rFonts w:ascii="Times New Roman" w:hAnsi="Times New Roman" w:eastAsia="宋体"/>
              </w:rPr>
              <w:t>15. 数据保护与隐私合规制度</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27</w:t>
            </w:r>
          </w:p>
        </w:tc>
        <w:tc>
          <w:tcPr>
            <w:tcW w:type="dxa" w:w="5760"/>
          </w:tcPr>
          <w:p>
            <w:r>
              <w:rPr>
                <w:rFonts w:ascii="Times New Roman" w:hAnsi="Times New Roman" w:eastAsia="宋体"/>
              </w:rPr>
              <w:t>16. 竞争法与反垄断合规指引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28</w:t>
            </w:r>
          </w:p>
        </w:tc>
        <w:tc>
          <w:tcPr>
            <w:tcW w:type="dxa" w:w="5760"/>
          </w:tcPr>
          <w:p>
            <w:r>
              <w:rPr>
                <w:rFonts w:ascii="Times New Roman" w:hAnsi="Times New Roman" w:eastAsia="宋体"/>
              </w:rPr>
              <w:t>18. 外汇风险管理政策</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29</w:t>
            </w:r>
          </w:p>
        </w:tc>
        <w:tc>
          <w:tcPr>
            <w:tcW w:type="dxa" w:w="5760"/>
          </w:tcPr>
          <w:p>
            <w:r>
              <w:rPr>
                <w:rFonts w:ascii="Times New Roman" w:hAnsi="Times New Roman" w:eastAsia="宋体"/>
              </w:rPr>
              <w:t>19. 商品价格对冲管理办法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30</w:t>
            </w:r>
          </w:p>
        </w:tc>
        <w:tc>
          <w:tcPr>
            <w:tcW w:type="dxa" w:w="5760"/>
          </w:tcPr>
          <w:p>
            <w:r>
              <w:rPr>
                <w:rFonts w:ascii="Times New Roman" w:hAnsi="Times New Roman" w:eastAsia="宋体"/>
              </w:rPr>
              <w:t>29. 政治风险保险与风险转移指引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31</w:t>
            </w:r>
          </w:p>
        </w:tc>
        <w:tc>
          <w:tcPr>
            <w:tcW w:type="dxa" w:w="5760"/>
          </w:tcPr>
          <w:p>
            <w:r>
              <w:rPr>
                <w:rFonts w:ascii="Times New Roman" w:hAnsi="Times New Roman" w:eastAsia="宋体"/>
              </w:rPr>
              <w:t>25. 供应链风险与可持续采购政策</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32</w:t>
            </w:r>
          </w:p>
        </w:tc>
        <w:tc>
          <w:tcPr>
            <w:tcW w:type="dxa" w:w="5760"/>
          </w:tcPr>
          <w:p>
            <w:r>
              <w:rPr>
                <w:rFonts w:ascii="Times New Roman" w:hAnsi="Times New Roman" w:eastAsia="宋体"/>
              </w:rPr>
              <w:t>26. 设备资产完整性管理制度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33</w:t>
            </w:r>
          </w:p>
        </w:tc>
        <w:tc>
          <w:tcPr>
            <w:tcW w:type="dxa" w:w="5760"/>
          </w:tcPr>
          <w:p>
            <w:r>
              <w:rPr>
                <w:rFonts w:ascii="Times New Roman" w:hAnsi="Times New Roman" w:eastAsia="宋体"/>
              </w:rPr>
              <w:t>30. 网络安全与信息系统管理制度</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34</w:t>
            </w:r>
          </w:p>
        </w:tc>
        <w:tc>
          <w:tcPr>
            <w:tcW w:type="dxa" w:w="5760"/>
          </w:tcPr>
          <w:p>
            <w:r>
              <w:rPr>
                <w:rFonts w:ascii="Times New Roman" w:hAnsi="Times New Roman" w:eastAsia="宋体"/>
              </w:rPr>
              <w:t>31. 工控系统安全规范</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35</w:t>
            </w:r>
          </w:p>
        </w:tc>
        <w:tc>
          <w:tcPr>
            <w:tcW w:type="dxa" w:w="5760"/>
          </w:tcPr>
          <w:p>
            <w:r>
              <w:rPr>
                <w:rFonts w:ascii="Times New Roman" w:hAnsi="Times New Roman" w:eastAsia="宋体"/>
              </w:rPr>
              <w:t>32. 信息分类分级与保密管理办法</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5.0</w:t>
            </w:r>
          </w:p>
        </w:tc>
      </w:tr>
    </w:tbl>
    <w:p/>
    <w:p>
      <w:r>
        <w:drawing>
          <wp:inline xmlns:a="http://schemas.openxmlformats.org/drawingml/2006/main" xmlns:pic="http://schemas.openxmlformats.org/drawingml/2006/picture">
            <wp:extent cx="5486400" cy="6918649"/>
            <wp:docPr id="1" name="Picture 1"/>
            <wp:cNvGraphicFramePr>
              <a:graphicFrameLocks noChangeAspect="1"/>
            </wp:cNvGraphicFramePr>
            <a:graphic>
              <a:graphicData uri="http://schemas.openxmlformats.org/drawingml/2006/picture">
                <pic:pic>
                  <pic:nvPicPr>
                    <pic:cNvPr id="0" name="境外投资管理办法_分类汇总热力图.png"/>
                    <pic:cNvPicPr/>
                  </pic:nvPicPr>
                  <pic:blipFill>
                    <a:blip r:embed="rId9"/>
                    <a:stretch>
                      <a:fillRect/>
                    </a:stretch>
                  </pic:blipFill>
                  <pic:spPr>
                    <a:xfrm>
                      <a:off x="0" y="0"/>
                      <a:ext cx="5486400" cy="6918649"/>
                    </a:xfrm>
                    <a:prstGeom prst="rect"/>
                  </pic:spPr>
                </pic:pic>
              </a:graphicData>
            </a:graphic>
          </wp:inline>
        </w:drawing>
      </w:r>
    </w:p>
    <w:p>
      <w:pPr>
        <w:jc w:val="center"/>
      </w:pPr>
      <w:r>
        <w:rPr>
          <w:i/>
        </w:rPr>
        <w:t>图：8大类风险法规防控要求覆盖热力图（分值越高要求越严格）</w:t>
      </w:r>
    </w:p>
    <w:p>
      <w:r>
        <w:drawing>
          <wp:inline xmlns:a="http://schemas.openxmlformats.org/drawingml/2006/main" xmlns:pic="http://schemas.openxmlformats.org/drawingml/2006/picture">
            <wp:extent cx="5486400" cy="8649746"/>
            <wp:docPr id="2" name="Picture 2"/>
            <wp:cNvGraphicFramePr>
              <a:graphicFrameLocks noChangeAspect="1"/>
            </wp:cNvGraphicFramePr>
            <a:graphic>
              <a:graphicData uri="http://schemas.openxmlformats.org/drawingml/2006/picture">
                <pic:pic>
                  <pic:nvPicPr>
                    <pic:cNvPr id="0" name="境外投资管理办法_详细热力图.png"/>
                    <pic:cNvPicPr/>
                  </pic:nvPicPr>
                  <pic:blipFill>
                    <a:blip r:embed="rId10"/>
                    <a:stretch>
                      <a:fillRect/>
                    </a:stretch>
                  </pic:blipFill>
                  <pic:spPr>
                    <a:xfrm>
                      <a:off x="0" y="0"/>
                      <a:ext cx="5486400" cy="8649746"/>
                    </a:xfrm>
                    <a:prstGeom prst="rect"/>
                  </pic:spPr>
                </pic:pic>
              </a:graphicData>
            </a:graphic>
          </wp:inline>
        </w:drawing>
      </w:r>
    </w:p>
    <w:p>
      <w:pPr>
        <w:jc w:val="center"/>
      </w:pPr>
      <w:r>
        <w:rPr>
          <w:i/>
        </w:rPr>
        <w:t>图：36小类风险法规防控要求覆盖热力图（分值越高要求越严格）</w:t>
      </w:r>
    </w:p>
    <w:p>
      <w:pPr>
        <w:pStyle w:val="Heading2"/>
      </w:pPr>
      <w:r>
        <w:t>法规整体分析</w:t>
      </w:r>
    </w:p>
    <w:p>
      <w:pPr>
        <w:spacing w:after="160"/>
        <w:ind w:firstLine="720"/>
      </w:pPr>
      <w:r>
        <w:t>《境外投资管理办法》是规范企业境外投资行为的核心法规，其核心目的是建立健全境外投资管理体系，促进企业合规有序开展境外投资活动，防范投资风险，维护国家经济安全。</w:t>
      </w:r>
    </w:p>
    <w:p>
      <w:pPr>
        <w:spacing w:after="160"/>
        <w:ind w:firstLine="720"/>
      </w:pPr>
      <w:r>
        <w:t>该法规对企业境外投资的主要要求领域包括：投资决策与审批管理、风险防控体系建设、合规管理、信息报送、社会责任履行等方面。法规确立了"企业自主决策、自负盈亏"的基本原则，同时建立了严格的备案核准制度，对敏感国家地区和敏感行业的投资实施重点监管。</w:t>
      </w:r>
    </w:p>
    <w:p>
      <w:pPr>
        <w:spacing w:after="160"/>
        <w:ind w:firstLine="720"/>
      </w:pPr>
      <w:r>
        <w:t>法规的管理思路体现为分类分级管理，将境外投资分为鼓励、限制和禁止三类，采取备案和核准相结合的管理方式。监管重点集中在事前审批、事中监督和事后监管三个环节，特别强调风险防范和信息透明。</w:t>
      </w:r>
    </w:p>
    <w:p>
      <w:pPr>
        <w:spacing w:after="160"/>
        <w:ind w:firstLine="720"/>
      </w:pPr>
      <w:r>
        <w:t>法规要求企业建立的制度和管理体系主要包括：境外投资决策管理体系、风险评估和预警机制、突发事件应急管理体系、信息报送机制、合规管理体系、安全防范体系等。企业需要建立从决策到执行再到监督的完整管理框架。</w:t>
      </w:r>
    </w:p>
    <w:p>
      <w:pPr>
        <w:spacing w:after="160"/>
        <w:ind w:firstLine="720"/>
      </w:pPr>
      <w:r>
        <w:t>法规明确的负面清单包括：未获得《企业境外投资证书》开展投资、提供虚假材料、以欺骗贿赂等不正当手段获得核准、未经核准投资敏感国家地区、违规出口限制产品技术、未进行风险评估、隐瞒安全事故等行为。</w:t>
      </w:r>
    </w:p>
    <w:p>
      <w:pPr>
        <w:spacing w:after="160"/>
        <w:ind w:firstLine="720"/>
      </w:pPr>
      <w:r>
        <w:t>法规要求或建议提交的报告主要有：备案申请报告、核准申请报告、风险评估报告、定期投资情况报告、再投资情况报告、突发事件报告、社会责任履行情况报告等。企业需要建立完善的报告制度，确保信息及时准确。</w:t>
      </w:r>
    </w:p>
    <w:p>
      <w:pPr>
        <w:spacing w:after="160"/>
        <w:ind w:firstLine="720"/>
      </w:pPr>
      <w:r>
        <w:t>法规要求提交的信息数据与资料包括：投资项目基本信息、决策文件、投资环境信息、风险评估数据、投资运营情况、子公司经营信息、外派人员信息、当地法规要求信息等。所有提交的材料必须真实准确，不得弄虚作假。</w:t>
      </w:r>
    </w:p>
    <w:p>
      <w:pPr>
        <w:pStyle w:val="Heading2"/>
      </w:pPr>
      <w:r>
        <w:t>合规实施建议</w:t>
      </w:r>
    </w:p>
    <w:p>
      <w:pPr>
        <w:spacing w:after="160"/>
        <w:ind w:firstLine="720"/>
      </w:pPr>
      <w:r>
        <w:t>基于法规要求，企业应建立的核心合规体系包括六大方面：</w:t>
      </w:r>
    </w:p>
    <w:p>
      <w:pPr>
        <w:spacing w:after="160"/>
        <w:ind w:firstLine="720"/>
      </w:pPr>
      <w:r>
        <w:t>一是境外投资决策与审批管理体系。企业应制定明确的决策权限和流程，建立重大事项清单，规范备案核准程序，确保所有投资项目在获得必要批准后方可实施。</w:t>
      </w:r>
    </w:p>
    <w:p>
      <w:pPr>
        <w:spacing w:after="160"/>
        <w:ind w:firstLine="720"/>
      </w:pPr>
      <w:r>
        <w:t>二是全面风险管理体系。建立涵盖风险识别、评估、监测、预警和应对的全流程管理机制，制定风险评估标准和应急预案，定期开展风险评估和演练。</w:t>
      </w:r>
    </w:p>
    <w:p>
      <w:pPr>
        <w:spacing w:after="160"/>
        <w:ind w:firstLine="720"/>
      </w:pPr>
      <w:r>
        <w:t>三是合规管理体系。建立反腐败反贿赂制度，加强对敏感国家地区和限制出口技术的管控，开展投资前尽职调查，确保投资活动符合各项法律法规要求。</w:t>
      </w:r>
    </w:p>
    <w:p>
      <w:pPr>
        <w:spacing w:after="160"/>
        <w:ind w:firstLine="720"/>
      </w:pPr>
      <w:r>
        <w:t>四是信息报送与沟通机制。建立定期报告制度，及时向商务主管部门报送投资情况和风险信息，保持与监管部门的有效沟通。</w:t>
      </w:r>
    </w:p>
    <w:p>
      <w:pPr>
        <w:spacing w:after="160"/>
        <w:ind w:firstLine="720"/>
      </w:pPr>
      <w:r>
        <w:t>五是HSE与安全管理体系。建立符合投资目的地要求的健康安全环保管理体系，制定安全防范措施和应急预案，加强外派人员安全管理。</w:t>
      </w:r>
    </w:p>
    <w:p>
      <w:pPr>
        <w:spacing w:after="160"/>
        <w:ind w:firstLine="720"/>
      </w:pPr>
      <w:r>
        <w:t>六是社会责任管理体系。制定社会责任政策，做好环境保护和劳工保护工作，建立与当地社区的沟通机制，确保企业良好形象。</w:t>
      </w:r>
    </w:p>
    <w:p>
      <w:pPr>
        <w:spacing w:after="160"/>
        <w:ind w:firstLine="720"/>
      </w:pPr>
      <w:r>
        <w:t>重点关注的合规领域和优先级为：首先是投资审批合规，确保按规定办理备案或核准手续；其次是风险防控，建立健全风险管理机制；再次是信息真实性，确保所有申报和报告材料真实准确；最后是持续监督，建立投资后的持续合规管理机制。</w:t>
      </w:r>
    </w:p>
    <w:p>
      <w:pPr>
        <w:spacing w:after="160"/>
        <w:ind w:firstLine="720"/>
      </w:pPr>
      <w:r>
        <w:t>实施这些合规要求的具体步骤建议：第一步，全面梳理现有管理制度，识别与法规要求的差距；第二步，制定或修订相关管理制度和操作规程；第三步，建立组织架构和责任体系，明确各部门职责；第四步，开展全员培训，提高合规意识；第五步，建立监督检查机制，定期评估合规状况；第六步，持续改进，根据实践经验和监管要求不断完善管理体系。</w:t>
      </w:r>
    </w:p>
    <w:p>
      <w:r>
        <w:br w:type="page"/>
      </w:r>
    </w:p>
    <w:p>
      <w:pPr>
        <w:pStyle w:val="Heading1"/>
      </w:pPr>
      <w:r>
        <w:t>一、治理与战略</w:t>
      </w:r>
    </w:p>
    <w:p>
      <w:pPr>
        <w:pStyle w:val="Heading2"/>
      </w:pPr>
      <w:r>
        <w:t>大类法规要求概述</w:t>
      </w:r>
    </w:p>
    <w:p>
      <w:pPr>
        <w:spacing w:after="240"/>
        <w:ind w:firstLine="720"/>
      </w:pPr>
      <w:r>
        <w:t>《境外投资管理办法》对企业境外投资的治理与战略管理提出了系统性要求。法规确立了企业依法自主决策、自负盈亏的基本原则，同时建立了严格的备案和核准制度。在决策管理方面，要求企业建立健全内部决策流程，明确重大事项清单和决策层级。在风险监督方面，强调董事会应承担风险监督职责，建立风险预警和应急机制，定期评估和报告投资情况。对于海外子公司管理，虽未详细规定内部授权体系，但要求加强对境外子公司的合规管理和再投资监管。在战略规划与投资决策流程上，法规明确了不同投资情形的审批要求，特别是对敏感国家和行业投资的核准程序。整体而言，法规构建了从决策、执行到监督的完整治理框架，强调合规性、透明度和风险防控。</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海外业务治理与决策管理办法</w:t>
            </w:r>
          </w:p>
        </w:tc>
        <w:tc>
          <w:tcPr>
            <w:tcW w:type="dxa" w:w="1440"/>
            <w:vAlign w:val="top"/>
          </w:tcPr>
          <w:p>
            <w:pPr>
              <w:spacing w:after="60" w:before="60"/>
              <w:jc w:val="center"/>
            </w:pPr>
            <w:r>
              <w:rPr>
                <w:rFonts w:ascii="Times New Roman" w:hAnsi="Times New Roman" w:eastAsia="宋体"/>
                <w:b/>
                <w:color w:val="008000"/>
                <w:sz w:val="20"/>
              </w:rPr>
              <w:t>完全覆盖</w:t>
            </w:r>
          </w:p>
        </w:tc>
        <w:tc>
          <w:tcPr>
            <w:tcW w:type="dxa" w:w="5040"/>
            <w:vAlign w:val="top"/>
          </w:tcPr>
          <w:p>
            <w:pPr>
              <w:spacing w:after="60" w:before="60"/>
            </w:pPr>
            <w:r>
              <w:rPr>
                <w:rFonts w:ascii="Times New Roman" w:hAnsi="Times New Roman" w:eastAsia="宋体"/>
                <w:sz w:val="20"/>
              </w:rPr>
              <w:t>法规明确要求企业依法自主决策境外投资并承担盈亏责任。企业必须建立健全境外投资决策和备案流程，确保所有重大投资事项在内部决策和外部备案程序中得到落实。所有境外投资必须按照备案或核准程序办理手续，获得《企业境外投资证书》后方可开展投资活动。法规对决策层级、重大事项清单、决策流程和监管备案都有明确要求，企业需要建立完整的内部决策机制，明确各层级的决策权限，制定重大事项清单，规范决策流程，并严格执行备案或核准程序。</w:t>
            </w:r>
          </w:p>
        </w:tc>
        <w:tc>
          <w:tcPr>
            <w:tcW w:type="dxa" w:w="3600"/>
            <w:vAlign w:val="top"/>
          </w:tcPr>
          <w:p>
            <w:pPr>
              <w:spacing w:after="60" w:before="60"/>
            </w:pPr>
            <w:r>
              <w:rPr>
                <w:rFonts w:ascii="Times New Roman" w:hAnsi="Times New Roman" w:eastAsia="宋体"/>
                <w:sz w:val="20"/>
              </w:rPr>
              <w:t>【关键条款】</w:t>
              <w:br/>
              <w:t>• 第三条：企业依法自主决策、自负盈亏</w:t>
              <w:br/>
              <w:t>• 第六条：备案和核准程序要求</w:t>
              <w:br/>
              <w:t>• 第九条：决策和备案流程要求</w:t>
              <w:br/>
              <w:t>• 第十条：境外投资证书要求</w:t>
              <w:br/>
              <w:br/>
              <w:t>【合规要点】</w:t>
              <w:br/>
              <w:t>• 建立分级决策机制</w:t>
              <w:br/>
              <w:t>• 制定重大事项清单</w:t>
              <w:br/>
              <w:t>• 规范备案核准流程</w:t>
              <w:br/>
              <w:t>• 确保材料真实准确</w:t>
            </w:r>
          </w:p>
        </w:tc>
      </w:tr>
      <w:tr>
        <w:tc>
          <w:tcPr>
            <w:tcW w:type="dxa" w:w="2160"/>
            <w:vAlign w:val="top"/>
          </w:tcPr>
          <w:p>
            <w:pPr>
              <w:spacing w:after="60" w:before="60"/>
              <w:jc w:val="left"/>
            </w:pPr>
            <w:r>
              <w:rPr>
                <w:rFonts w:ascii="Times New Roman" w:hAnsi="Times New Roman" w:eastAsia="宋体"/>
                <w:sz w:val="20"/>
              </w:rPr>
              <w:t>董事会海外风险监督细则</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在开展境外投资前必须评估风险，建立风险预警及应急机制，确保董事会及相关风险委员会了解并监督境外投资中的风险。企业需要建立风险防范机制，定期向主管部门报告投资情况，确保信息真实准确。虽然法规强调了风险监督的重要性，但对于年度风险计划的制定、监督频次的具体要求以及信息披露的详细规范等方面没有明确规定，企业需要根据自身情况制定相应的内部制度。</w:t>
            </w:r>
          </w:p>
        </w:tc>
        <w:tc>
          <w:tcPr>
            <w:tcW w:type="dxa" w:w="3600"/>
            <w:vAlign w:val="top"/>
          </w:tcPr>
          <w:p>
            <w:pPr>
              <w:spacing w:after="60" w:before="60"/>
            </w:pPr>
            <w:r>
              <w:rPr>
                <w:rFonts w:ascii="Times New Roman" w:hAnsi="Times New Roman" w:eastAsia="宋体"/>
                <w:sz w:val="20"/>
              </w:rPr>
              <w:t>【关键条款】</w:t>
              <w:br/>
              <w:t>• 第十九条：风险评估要求</w:t>
              <w:br/>
              <w:t>• 第二十二条：风险预警机制</w:t>
              <w:br/>
              <w:t>• 第二十四条：定期报告要求</w:t>
              <w:br/>
              <w:t>• 第四条：风险情形规定</w:t>
              <w:br/>
              <w:br/>
              <w:t>【合规要点】</w:t>
              <w:br/>
              <w:t>• 建立风险评估机制</w:t>
              <w:br/>
              <w:t>• 制定应急预案</w:t>
              <w:br/>
              <w:t>• 定期报告制度</w:t>
              <w:br/>
              <w:t>• 确保信息真实性</w:t>
            </w:r>
          </w:p>
        </w:tc>
      </w:tr>
      <w:tr>
        <w:tc>
          <w:tcPr>
            <w:tcW w:type="dxa" w:w="2160"/>
            <w:vAlign w:val="top"/>
          </w:tcPr>
          <w:p>
            <w:pPr>
              <w:spacing w:after="60" w:before="60"/>
              <w:jc w:val="left"/>
            </w:pPr>
            <w:r>
              <w:rPr>
                <w:rFonts w:ascii="Times New Roman" w:hAnsi="Times New Roman" w:eastAsia="宋体"/>
                <w:sz w:val="20"/>
              </w:rPr>
              <w:t>海外子公司管理授权与责任制度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对海外子公司的内部管理授权与责任划分未作出明确详细要求，但强调企业必须加强对境外子公司的管理，确保其合规经营。企业需要及时报告境外子公司的再投资情况，加强对子公司经营活动的监督。虽然法规没有对'三道防线'职责、授权限额、越级报告通道等具体管理机制作出规定，但企业仍需根据自身实际情况及其他相关规定制定完善的内部子公司管理制度，确保境外子公司的合规运营。</w:t>
            </w:r>
          </w:p>
        </w:tc>
        <w:tc>
          <w:tcPr>
            <w:tcW w:type="dxa" w:w="3600"/>
            <w:vAlign w:val="top"/>
          </w:tcPr>
          <w:p>
            <w:pPr>
              <w:spacing w:after="60" w:before="60"/>
            </w:pPr>
            <w:r>
              <w:rPr>
                <w:rFonts w:ascii="Times New Roman" w:hAnsi="Times New Roman" w:eastAsia="宋体"/>
                <w:sz w:val="20"/>
              </w:rPr>
              <w:t>【关键条款】</w:t>
              <w:br/>
              <w:t>• 第二十条：子公司管理要求</w:t>
              <w:br/>
              <w:t>• 第二十三条：合规经营要求</w:t>
              <w:br/>
              <w:t>• 第二十五条：再投资报告要求</w:t>
              <w:br/>
              <w:br/>
              <w:t>【合规要点】</w:t>
              <w:br/>
              <w:t>• 加强子公司管控</w:t>
              <w:br/>
              <w:t>• 建立授权体系</w:t>
              <w:br/>
              <w:t>• 确保合规经营</w:t>
              <w:br/>
              <w:t>• 及时报告再投资</w:t>
            </w:r>
          </w:p>
        </w:tc>
      </w:tr>
      <w:tr>
        <w:tc>
          <w:tcPr>
            <w:tcW w:type="dxa" w:w="2160"/>
            <w:vAlign w:val="top"/>
          </w:tcPr>
          <w:p>
            <w:pPr>
              <w:spacing w:after="60" w:before="60"/>
              <w:jc w:val="left"/>
            </w:pPr>
            <w:r>
              <w:rPr>
                <w:rFonts w:ascii="Times New Roman" w:hAnsi="Times New Roman" w:eastAsia="宋体"/>
                <w:sz w:val="20"/>
              </w:rPr>
              <w:t>战略规划与投资决策流程规范</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明确要求企业根据境外投资的不同情形向商务部门申请备案或核准，必须进行充分的投资评估。对敏感国家和行业的投资必须获得核准。企业应按照规定的决策流程，提交符合要求的申请材料，在决策过程中满足法律、行政审批的相关要求，确保境外投资项目符合风险控制和战略规划要求。虽然法规对立项准入标准、可研模板、风险-回报阈值等具体技术要求没有详细规定，但强调了投资评估和决策流程的重要性。</w:t>
            </w:r>
          </w:p>
        </w:tc>
        <w:tc>
          <w:tcPr>
            <w:tcW w:type="dxa" w:w="3600"/>
            <w:vAlign w:val="top"/>
          </w:tcPr>
          <w:p>
            <w:pPr>
              <w:spacing w:after="60" w:before="60"/>
            </w:pPr>
            <w:r>
              <w:rPr>
                <w:rFonts w:ascii="Times New Roman" w:hAnsi="Times New Roman" w:eastAsia="宋体"/>
                <w:sz w:val="20"/>
              </w:rPr>
              <w:t>【关键条款】</w:t>
              <w:br/>
              <w:t>• 第六条：备案核准申请要求</w:t>
              <w:br/>
              <w:t>• 第七条：敏感投资核准要求</w:t>
              <w:br/>
              <w:t>• 第十条：申请材料要求</w:t>
              <w:br/>
              <w:t>• 第十二条：决策流程要求</w:t>
              <w:br/>
              <w:t>• 第十九条：投资评估要求</w:t>
              <w:br/>
              <w:br/>
              <w:t>【合规要点】</w:t>
              <w:br/>
              <w:t>• 规范决策流程</w:t>
              <w:br/>
              <w:t>• 充分投资评估</w:t>
              <w:br/>
              <w:t>• 严格审批程序</w:t>
              <w:br/>
              <w:t>• 确保材料真实</w:t>
            </w:r>
          </w:p>
        </w:tc>
      </w:tr>
    </w:tbl>
    <w:p>
      <w:pPr>
        <w:pStyle w:val="Heading2"/>
      </w:pPr>
      <w:r>
        <w:t>合规措施建议</w:t>
      </w:r>
    </w:p>
    <w:p>
      <w:pPr>
        <w:spacing w:after="240"/>
        <w:ind w:firstLine="720"/>
      </w:pPr>
      <w:r>
        <w:t>企业应建立完善的境外投资治理架构，明确决策权限和流程，制定重大事项清单。加强董事会对境外投资的风险监督，建立风险评估、预警和应急机制。完善海外子公司管控体系，确保合规经营。规范投资决策流程，特别是对敏感国家和行业的投资要严格按照核准程序办理。建立定期报告制度，确保信息真实准确，及时向主管部门报告投资情况。</w:t>
      </w:r>
    </w:p>
    <w:p/>
    <w:p/>
    <w:p>
      <w:pPr>
        <w:pStyle w:val="Heading1"/>
      </w:pPr>
      <w:r>
        <w:t>二、全面风险管理</w:t>
      </w:r>
    </w:p>
    <w:p>
      <w:pPr>
        <w:pStyle w:val="Heading2"/>
      </w:pPr>
      <w:r>
        <w:t>大类法规要求概述</w:t>
      </w:r>
    </w:p>
    <w:p>
      <w:pPr>
        <w:spacing w:after="240"/>
        <w:ind w:firstLine="720"/>
      </w:pPr>
      <w:r>
        <w:t>该法规对企业境外投资的全面风险管理提出了框架性要求，主要集中在风险防范的基本原则和关键环节。法规强调企业应自主决策、自负盈亏，同时必须建立风险评估机制、突发事件预警机制和应急预案。在风险管理体系方面，法规要求企业在投资前进行充分的环境研究和自我评估，并根据投资目的地和行业敏感性实施分级管理。法规还建立了风险信息报告制度，要求企业定期向商务主管部门报送投资情况，同时商务部门提供风险预警服务。虽然法规涵盖了风险管理的主要环节，但在具体实施细则、风险量化标准、管理成熟度评估等方面仍较为原则性，需要企业根据自身情况制定详细的管理制度。</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海外全面风险管理基本制度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四条确立了企业境外投资风险管理的基本原则，要求企业自主决策、自负盈亏，必须遵守国家法律法规和国际条约。第十九条和第二十二条要求企业建立风险评估机制、突发事件预警机制和应急预案，形成风险管理的基本框架。企业需要在投资前后持续运行风险评估和预警机制，确保对潜在风险进行识别和及时应对。虽然法规明确了风险管理的必要性和基本要求，但对于风险管理的具体目标、原则、流程与角色分工等细节未作详细规定，需要企业自行制定完善的风险管理制度。</w:t>
            </w:r>
          </w:p>
        </w:tc>
        <w:tc>
          <w:tcPr>
            <w:tcW w:type="dxa" w:w="3600"/>
            <w:vAlign w:val="top"/>
          </w:tcPr>
          <w:p>
            <w:pPr>
              <w:spacing w:after="60" w:before="60"/>
            </w:pPr>
            <w:r>
              <w:rPr>
                <w:rFonts w:ascii="Times New Roman" w:hAnsi="Times New Roman" w:eastAsia="宋体"/>
                <w:sz w:val="20"/>
              </w:rPr>
              <w:t>【关键条款】</w:t>
              <w:br/>
              <w:t>• 第四条</w:t>
              <w:br/>
              <w:t>• 第十九条</w:t>
              <w:br/>
              <w:t>• 第二十二条</w:t>
              <w:br/>
              <w:br/>
              <w:t>【合规要点】</w:t>
              <w:br/>
              <w:t>• 建立风险评估机制</w:t>
              <w:br/>
              <w:t>• 制定应急预案</w:t>
              <w:br/>
              <w:t>• 遵守法律法规</w:t>
            </w:r>
          </w:p>
        </w:tc>
      </w:tr>
      <w:tr>
        <w:tc>
          <w:tcPr>
            <w:tcW w:type="dxa" w:w="2160"/>
            <w:vAlign w:val="top"/>
          </w:tcPr>
          <w:p>
            <w:pPr>
              <w:spacing w:after="60" w:before="60"/>
              <w:jc w:val="left"/>
            </w:pPr>
            <w:r>
              <w:rPr>
                <w:rFonts w:ascii="Times New Roman" w:hAnsi="Times New Roman" w:eastAsia="宋体"/>
                <w:sz w:val="20"/>
              </w:rPr>
              <w:t>风险偏好与容忍度政策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四条通过负面清单方式间接体现了风险容忍度的概念，明确规定企业必须严格遵守负面清单规定，不得从事禁止性投资活动，这实际上设定了风险的红线。但法规对于企业应如何制定各类风险限额、设定风险偏好指标、建立调整机制等具体内容没有明确要求。企业需要根据自身情况，在遵守负面清单的基础上，自行制定符合企业战略的风险偏好与容忍度政策。</w:t>
            </w:r>
          </w:p>
        </w:tc>
        <w:tc>
          <w:tcPr>
            <w:tcW w:type="dxa" w:w="3600"/>
            <w:vAlign w:val="top"/>
          </w:tcPr>
          <w:p>
            <w:pPr>
              <w:spacing w:after="60" w:before="60"/>
            </w:pPr>
            <w:r>
              <w:rPr>
                <w:rFonts w:ascii="Times New Roman" w:hAnsi="Times New Roman" w:eastAsia="宋体"/>
                <w:sz w:val="20"/>
              </w:rPr>
              <w:t>【关键条款】</w:t>
              <w:br/>
              <w:t>• 第四条</w:t>
              <w:br/>
              <w:br/>
              <w:t>【合规要点】</w:t>
              <w:br/>
              <w:t>• 严格遵守负面清单</w:t>
              <w:br/>
              <w:t>• 不从事禁止性投资</w:t>
            </w:r>
          </w:p>
        </w:tc>
      </w:tr>
      <w:tr>
        <w:tc>
          <w:tcPr>
            <w:tcW w:type="dxa" w:w="2160"/>
            <w:vAlign w:val="top"/>
          </w:tcPr>
          <w:p>
            <w:pPr>
              <w:spacing w:after="60" w:before="60"/>
              <w:jc w:val="left"/>
            </w:pPr>
            <w:r>
              <w:rPr>
                <w:rFonts w:ascii="Times New Roman" w:hAnsi="Times New Roman" w:eastAsia="宋体"/>
                <w:sz w:val="20"/>
              </w:rPr>
              <w:t>风险识别评估与分级管理办法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十九条要求企业进行自我评估和环境研究，在投资前须对投资环境和自身风险承受能力进行评估。第六条、第七条建立了基于投资目的地和行业敏感性的分级管理制度，将境外投资分为鼓励、限制和禁止三类。企业需要根据这种分级进行相应的备案或核准程序。但法规未对风险评估的具体标准、评估矩阵、评估频次、工作底稿等技术细节作出规定，企业需要自行建立完善的风险识别评估体系。</w:t>
            </w:r>
          </w:p>
        </w:tc>
        <w:tc>
          <w:tcPr>
            <w:tcW w:type="dxa" w:w="3600"/>
            <w:vAlign w:val="top"/>
          </w:tcPr>
          <w:p>
            <w:pPr>
              <w:spacing w:after="60" w:before="60"/>
            </w:pPr>
            <w:r>
              <w:rPr>
                <w:rFonts w:ascii="Times New Roman" w:hAnsi="Times New Roman" w:eastAsia="宋体"/>
                <w:sz w:val="20"/>
              </w:rPr>
              <w:t>【关键条款】</w:t>
              <w:br/>
              <w:t>• 第六条</w:t>
              <w:br/>
              <w:t>• 第七条</w:t>
              <w:br/>
              <w:t>• 第十九条</w:t>
              <w:br/>
              <w:br/>
              <w:t>【合规要点】</w:t>
              <w:br/>
              <w:t>• 进行投资前风险评估</w:t>
              <w:br/>
              <w:t>• 按照分级要求办理手续</w:t>
              <w:br/>
              <w:t>• 评估自身风险承受能力</w:t>
            </w:r>
          </w:p>
        </w:tc>
      </w:tr>
      <w:tr>
        <w:tc>
          <w:tcPr>
            <w:tcW w:type="dxa" w:w="2160"/>
            <w:vAlign w:val="top"/>
          </w:tcPr>
          <w:p>
            <w:pPr>
              <w:spacing w:after="60" w:before="60"/>
              <w:jc w:val="left"/>
            </w:pPr>
            <w:r>
              <w:rPr>
                <w:rFonts w:ascii="Times New Roman" w:hAnsi="Times New Roman" w:eastAsia="宋体"/>
                <w:sz w:val="20"/>
              </w:rPr>
              <w:t>风险监测预警与报告制度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建立预警机制和应急预案，第二十四条规定企业必须定期向商务主管部门报送境外投资业务及风险状况。第二十七条明确商务部门将提供风险预警服务。这形成了企业内部监测与政府预警相结合的风险监测体系。企业需要建立风险监控与报告的内部机制，定期收集、分析风险信息并上报。但法规未对KRI采集口径、阈值设定、预警流程等具体技术要求作出规定。</w:t>
            </w:r>
          </w:p>
        </w:tc>
        <w:tc>
          <w:tcPr>
            <w:tcW w:type="dxa" w:w="3600"/>
            <w:vAlign w:val="top"/>
          </w:tcPr>
          <w:p>
            <w:pPr>
              <w:spacing w:after="60" w:before="60"/>
            </w:pPr>
            <w:r>
              <w:rPr>
                <w:rFonts w:ascii="Times New Roman" w:hAnsi="Times New Roman" w:eastAsia="宋体"/>
                <w:sz w:val="20"/>
              </w:rPr>
              <w:t>【关键条款】</w:t>
              <w:br/>
              <w:t>• 第二十二条</w:t>
              <w:br/>
              <w:t>• 第二十四条</w:t>
              <w:br/>
              <w:t>• 第二十七条</w:t>
              <w:br/>
              <w:br/>
              <w:t>【合规要点】</w:t>
              <w:br/>
              <w:t>• 建立预警机制</w:t>
              <w:br/>
              <w:t>• 定期报告投资情况</w:t>
              <w:br/>
              <w:t>• 如实提供信息</w:t>
            </w:r>
          </w:p>
        </w:tc>
      </w:tr>
      <w:tr>
        <w:tc>
          <w:tcPr>
            <w:tcW w:type="dxa" w:w="2160"/>
            <w:vAlign w:val="top"/>
          </w:tcPr>
          <w:p>
            <w:pPr>
              <w:spacing w:after="60" w:before="60"/>
              <w:jc w:val="left"/>
            </w:pPr>
            <w:r>
              <w:rPr>
                <w:rFonts w:ascii="Times New Roman" w:hAnsi="Times New Roman" w:eastAsia="宋体"/>
                <w:sz w:val="20"/>
              </w:rPr>
              <w:t>风险应对与缓释措施管理办法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在突发事件时及时妥善处理，需要制定应急处理流程和缓解风险的工作措施，确保在出现突发风险时能够迅速响应。这体现了对风险应对的基本要求，但法规未对具体的风险应对策略（规避、减缓、转移、接受）、资源审批流程、缓释措施的选择标准等作出详细规定。企业需要根据自身情况制定完整的风险应对与缓释措施管理体系。</w:t>
            </w:r>
          </w:p>
        </w:tc>
        <w:tc>
          <w:tcPr>
            <w:tcW w:type="dxa" w:w="3600"/>
            <w:vAlign w:val="top"/>
          </w:tcPr>
          <w:p>
            <w:pPr>
              <w:spacing w:after="60" w:before="60"/>
            </w:pPr>
            <w:r>
              <w:rPr>
                <w:rFonts w:ascii="Times New Roman" w:hAnsi="Times New Roman" w:eastAsia="宋体"/>
                <w:sz w:val="20"/>
              </w:rPr>
              <w:t>【关键条款】</w:t>
              <w:br/>
              <w:t>• 第二十二条</w:t>
              <w:br/>
              <w:br/>
              <w:t>【合规要点】</w:t>
              <w:br/>
              <w:t>• 制定应急预案</w:t>
              <w:br/>
              <w:t>• 及时处理突发事件</w:t>
            </w:r>
          </w:p>
        </w:tc>
      </w:tr>
      <w:tr>
        <w:tc>
          <w:tcPr>
            <w:tcW w:type="dxa" w:w="2160"/>
            <w:vAlign w:val="top"/>
          </w:tcPr>
          <w:p>
            <w:pPr>
              <w:spacing w:after="60" w:before="60"/>
              <w:jc w:val="left"/>
            </w:pPr>
            <w:r>
              <w:rPr>
                <w:rFonts w:ascii="Times New Roman" w:hAnsi="Times New Roman" w:eastAsia="宋体"/>
                <w:sz w:val="20"/>
              </w:rPr>
              <w:t>风险事件管理与调查制度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建立突发事件处理机制，并接受相关部门指导，这为风险事件管理提供了基础框架。企业在发生风险事件时必须有相应的处理机制，并配合政府部门的指导和调查。但法规未明确规定风险事件的分级标准、详细调查程序、经验教训共享机制等具体内容。企业需要自行建立完善的风险事件管理制度，包括事件分级、调查流程、整改措施等。</w:t>
            </w:r>
          </w:p>
        </w:tc>
        <w:tc>
          <w:tcPr>
            <w:tcW w:type="dxa" w:w="3600"/>
            <w:vAlign w:val="top"/>
          </w:tcPr>
          <w:p>
            <w:pPr>
              <w:spacing w:after="60" w:before="60"/>
            </w:pPr>
            <w:r>
              <w:rPr>
                <w:rFonts w:ascii="Times New Roman" w:hAnsi="Times New Roman" w:eastAsia="宋体"/>
                <w:sz w:val="20"/>
              </w:rPr>
              <w:t>【关键条款】</w:t>
              <w:br/>
              <w:t>• 第二十二条</w:t>
              <w:br/>
              <w:br/>
              <w:t>【合规要点】</w:t>
              <w:br/>
              <w:t>• 建立事件处理机制</w:t>
              <w:br/>
              <w:t>• 接受部门指导</w:t>
            </w:r>
          </w:p>
        </w:tc>
      </w:tr>
      <w:tr>
        <w:tc>
          <w:tcPr>
            <w:tcW w:type="dxa" w:w="2160"/>
            <w:vAlign w:val="top"/>
          </w:tcPr>
          <w:p>
            <w:pPr>
              <w:spacing w:after="60" w:before="60"/>
              <w:jc w:val="left"/>
            </w:pPr>
            <w:r>
              <w:rPr>
                <w:rFonts w:ascii="Times New Roman" w:hAnsi="Times New Roman" w:eastAsia="宋体"/>
                <w:sz w:val="20"/>
              </w:rPr>
              <w:t>风险管理成熟度与绩效评估制度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风险管理成熟度评估、绩效考核、COSO要素评分模型等内容。企业如需建立风险管理成熟度与绩效评估制度，需要参考国际标准和行业最佳实践，自行设计评估体系和改进机制。</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建立涵盖事前评估、事中监控、事后应对的全流程风险管理体系。重点落实风险评估机制、预警机制和应急预案的建设，确保能够识别、监测和应对各类风险。建立定期报告制度，如实向商务主管部门报送投资和风险信息。根据投资目的地和行业特点进行分级管理，严格遵守负面清单要求。在法规框架基础上，制定详细的内部风险管理制度和操作规程。</w:t>
      </w:r>
    </w:p>
    <w:p/>
    <w:p/>
    <w:p>
      <w:pPr>
        <w:pStyle w:val="Heading1"/>
      </w:pPr>
      <w:r>
        <w:t>三、合规与法律</w:t>
      </w:r>
    </w:p>
    <w:p>
      <w:pPr>
        <w:pStyle w:val="Heading2"/>
      </w:pPr>
      <w:r>
        <w:t>大类法规要求概述</w:t>
      </w:r>
    </w:p>
    <w:p>
      <w:pPr>
        <w:spacing w:after="240"/>
        <w:ind w:firstLine="720"/>
      </w:pPr>
      <w:r>
        <w:t>该法规对企业境外投资的合规与法律管理提出了框架性要求，重点强调了合规管理体系建设、反腐败反贿赂、贸易制裁与出口管制等方面。法规要求企业必须遵守国家法律法规和国际条约协定，建立内部风险评估、监测和报告机制。在反腐败方面，强调申请备案或核准时必须通过正当途径，严禁通过贿赂等不正当手段获取批准。对于涉及敏感国家地区或限制出口产品技术的投资，必须获得核准。法规还要求企业进行投资前的尽职调查和风险评估。虽然法规对合规管理提出了总体要求，但在数据保护、竞争法等具体领域的规定相对欠缺，需要企业参考其他相关法规进行补充完善。</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全球合规管理体系文件（ISO 37301 对标）</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自行评估境外投资是否符合国家法律法规和国际条约协定要求，建立内部风险评估、监测和报告机制。企业需在投资前后进行风险评估，定期向商务主管部门报告投资情况。商务部及省级商务主管部门会对备案和核准情况进行检查指导，对信息报送和风险防控提出明确要求。虽然法规提出了合规管理的基本框架，但相比ISO 37301标准，在合规文化建设、合规组织架构、合规培训等方面的具体要求还不够详细。</w:t>
            </w:r>
          </w:p>
        </w:tc>
        <w:tc>
          <w:tcPr>
            <w:tcW w:type="dxa" w:w="3600"/>
            <w:vAlign w:val="top"/>
          </w:tcPr>
          <w:p>
            <w:pPr>
              <w:spacing w:after="60" w:before="60"/>
            </w:pPr>
            <w:r>
              <w:rPr>
                <w:rFonts w:ascii="Times New Roman" w:hAnsi="Times New Roman" w:eastAsia="宋体"/>
                <w:sz w:val="20"/>
              </w:rPr>
              <w:t>【关键条款】</w:t>
              <w:br/>
              <w:t>• 第四条</w:t>
              <w:br/>
              <w:t>• 第十九条</w:t>
              <w:br/>
              <w:t>• 第二十二条</w:t>
              <w:br/>
              <w:t>• 第二十四条</w:t>
              <w:br/>
              <w:br/>
              <w:t>【合规要点】</w:t>
              <w:br/>
              <w:t>• 建立完整的合规管理体系</w:t>
              <w:br/>
              <w:t>• 定期进行风险评估</w:t>
              <w:br/>
              <w:t>• 如实完整填报相关信息</w:t>
            </w:r>
          </w:p>
        </w:tc>
      </w:tr>
      <w:tr>
        <w:tc>
          <w:tcPr>
            <w:tcW w:type="dxa" w:w="2160"/>
            <w:vAlign w:val="top"/>
          </w:tcPr>
          <w:p>
            <w:pPr>
              <w:spacing w:after="60" w:before="60"/>
              <w:jc w:val="left"/>
            </w:pPr>
            <w:r>
              <w:rPr>
                <w:rFonts w:ascii="Times New Roman" w:hAnsi="Times New Roman" w:eastAsia="宋体"/>
                <w:sz w:val="20"/>
              </w:rPr>
              <w:t>反腐败与反贿赂政策</w:t>
            </w:r>
          </w:p>
        </w:tc>
        <w:tc>
          <w:tcPr>
            <w:tcW w:type="dxa" w:w="1440"/>
            <w:vAlign w:val="top"/>
          </w:tcPr>
          <w:p>
            <w:pPr>
              <w:spacing w:after="60" w:before="60"/>
              <w:jc w:val="center"/>
            </w:pPr>
            <w:r>
              <w:rPr>
                <w:rFonts w:ascii="Times New Roman" w:hAnsi="Times New Roman" w:eastAsia="宋体"/>
                <w:b/>
                <w:color w:val="008000"/>
                <w:sz w:val="20"/>
              </w:rPr>
              <w:t>完全覆盖</w:t>
            </w:r>
          </w:p>
        </w:tc>
        <w:tc>
          <w:tcPr>
            <w:tcW w:type="dxa" w:w="5040"/>
            <w:vAlign w:val="top"/>
          </w:tcPr>
          <w:p>
            <w:pPr>
              <w:spacing w:after="60" w:before="60"/>
            </w:pPr>
            <w:r>
              <w:rPr>
                <w:rFonts w:ascii="Times New Roman" w:hAnsi="Times New Roman" w:eastAsia="宋体"/>
                <w:sz w:val="20"/>
              </w:rPr>
              <w:t>法规明确禁止企业通过贿赂等不正当手段获取境外投资核准或备案。在申请备案或核准时，企业必须如实提供相关材料，通过正当途径办理，并接受商务部及省级商务主管部门严格审查，确保审批过程透明、合法。对于通过贿赂等不正当手段获取核准的，将撤销核准，给予警告，三年内不得再次申请，构成犯罪的追究刑事责任。虽然法规对禁止贿赂有明确规定，但对礼品待客上限、具体举报渠道等细节要求尚不够具体。</w:t>
            </w:r>
          </w:p>
        </w:tc>
        <w:tc>
          <w:tcPr>
            <w:tcW w:type="dxa" w:w="3600"/>
            <w:vAlign w:val="top"/>
          </w:tcPr>
          <w:p>
            <w:pPr>
              <w:spacing w:after="60" w:before="60"/>
            </w:pPr>
            <w:r>
              <w:rPr>
                <w:rFonts w:ascii="Times New Roman" w:hAnsi="Times New Roman" w:eastAsia="宋体"/>
                <w:sz w:val="20"/>
              </w:rPr>
              <w:t>【关键条款】</w:t>
              <w:br/>
              <w:t>• 第二十八条</w:t>
              <w:br/>
              <w:t>• 第二十九条</w:t>
              <w:br/>
              <w:br/>
              <w:t>【合规要点】</w:t>
              <w:br/>
              <w:t>• 通过正当途径申请</w:t>
              <w:br/>
              <w:t>• 如实提供材料</w:t>
              <w:br/>
              <w:t>• 接受严格审查</w:t>
            </w:r>
          </w:p>
        </w:tc>
      </w:tr>
      <w:tr>
        <w:tc>
          <w:tcPr>
            <w:tcW w:type="dxa" w:w="2160"/>
            <w:vAlign w:val="top"/>
          </w:tcPr>
          <w:p>
            <w:pPr>
              <w:spacing w:after="60" w:before="60"/>
              <w:jc w:val="left"/>
            </w:pPr>
            <w:r>
              <w:rPr>
                <w:rFonts w:ascii="Times New Roman" w:hAnsi="Times New Roman" w:eastAsia="宋体"/>
                <w:sz w:val="20"/>
              </w:rPr>
              <w:t>贸易制裁与出口管制合规指引</w:t>
            </w:r>
          </w:p>
        </w:tc>
        <w:tc>
          <w:tcPr>
            <w:tcW w:type="dxa" w:w="1440"/>
            <w:vAlign w:val="top"/>
          </w:tcPr>
          <w:p>
            <w:pPr>
              <w:spacing w:after="60" w:before="60"/>
              <w:jc w:val="center"/>
            </w:pPr>
            <w:r>
              <w:rPr>
                <w:rFonts w:ascii="Times New Roman" w:hAnsi="Times New Roman" w:eastAsia="宋体"/>
                <w:b/>
                <w:color w:val="008000"/>
                <w:sz w:val="20"/>
              </w:rPr>
              <w:t>完全覆盖</w:t>
            </w:r>
          </w:p>
        </w:tc>
        <w:tc>
          <w:tcPr>
            <w:tcW w:type="dxa" w:w="5040"/>
            <w:vAlign w:val="top"/>
          </w:tcPr>
          <w:p>
            <w:pPr>
              <w:spacing w:after="60" w:before="60"/>
            </w:pPr>
            <w:r>
              <w:rPr>
                <w:rFonts w:ascii="Times New Roman" w:hAnsi="Times New Roman" w:eastAsia="宋体"/>
                <w:sz w:val="20"/>
              </w:rPr>
              <w:t>法规要求企业在境外投资前须对投资目的地的贸易和出口管制规定进行核查，涉及敏感国家地区或限制出口产品技术的投资必须获得核准。企业需根据国家规定办理备案或核准手续，确保投资活动符合出口管制要求。对于涉及敏感行业的企业，必须申请核准。违反规定的将被撤销核准或备案，并依法给予处罚，承担相应法律责任。法规虽然提出了原则性要求，但对制裁名单筛查、双用途物项具体管控措施等操作细节规定不足。</w:t>
            </w:r>
          </w:p>
        </w:tc>
        <w:tc>
          <w:tcPr>
            <w:tcW w:type="dxa" w:w="3600"/>
            <w:vAlign w:val="top"/>
          </w:tcPr>
          <w:p>
            <w:pPr>
              <w:spacing w:after="60" w:before="60"/>
            </w:pPr>
            <w:r>
              <w:rPr>
                <w:rFonts w:ascii="Times New Roman" w:hAnsi="Times New Roman" w:eastAsia="宋体"/>
                <w:sz w:val="20"/>
              </w:rPr>
              <w:t>【关键条款】</w:t>
              <w:br/>
              <w:t>• 第四条</w:t>
              <w:br/>
              <w:t>• 第七条</w:t>
              <w:br/>
              <w:t>• 第十条</w:t>
              <w:br/>
              <w:br/>
              <w:t>【合规要点】</w:t>
              <w:br/>
              <w:t>• 核查目的地贸易管制规定</w:t>
              <w:br/>
              <w:t>• 办理必要核准手续</w:t>
              <w:br/>
              <w:t>• 确保符合出口管制要求</w:t>
            </w:r>
          </w:p>
        </w:tc>
      </w:tr>
      <w:tr>
        <w:tc>
          <w:tcPr>
            <w:tcW w:type="dxa" w:w="2160"/>
            <w:vAlign w:val="top"/>
          </w:tcPr>
          <w:p>
            <w:pPr>
              <w:spacing w:after="60" w:before="60"/>
              <w:jc w:val="left"/>
            </w:pPr>
            <w:r>
              <w:rPr>
                <w:rFonts w:ascii="Times New Roman" w:hAnsi="Times New Roman" w:eastAsia="宋体"/>
                <w:sz w:val="20"/>
              </w:rPr>
              <w:t>数据保护与隐私合规制度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主要关注境外投资的审批、备案和监管程序，未涉及数据保护与隐私合规的具体要求。企业在境外投资过程中涉及的个人信息分类、跨境传输、数据主体权利等数据保护事项，需要参考其他相关法律法规，如《个人信息保护法》、《数据安全法》以及投资目的地的数据保护法规。</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竞争法与反垄断合规指引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竞争法与反垄断合规的具体规定，包括禁止垄断协议、信息交换边界、dawn-raid应对等内容。企业在境外投资过程中需要遵守的竞争法和反垄断规定，应参考《反垄断法》、《反不正当竞争法》以及投资目的地的相关竞争法规，确保投资行为不违反当地的反垄断规定。</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第三方尽职调查和诚信审查程序</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应进行投资前的尽职调查和风险评估，这是第三方尽职调查的基础要求。企业需要在境外投资前对投资项目、合作方等进行必要的调查评估，识别潜在风险。但法规对尽职调查的具体内容、风险评分模型、分层尽调标准、持续监控机制等操作细节没有明确规定。企业需要根据实际情况建立更加完善的第三方尽职调查和诚信审查程序。</w:t>
            </w:r>
          </w:p>
        </w:tc>
        <w:tc>
          <w:tcPr>
            <w:tcW w:type="dxa" w:w="3600"/>
            <w:vAlign w:val="top"/>
          </w:tcPr>
          <w:p>
            <w:pPr>
              <w:spacing w:after="60" w:before="60"/>
            </w:pPr>
            <w:r>
              <w:rPr>
                <w:rFonts w:ascii="Times New Roman" w:hAnsi="Times New Roman" w:eastAsia="宋体"/>
                <w:sz w:val="20"/>
              </w:rPr>
              <w:t>【关键条款】</w:t>
              <w:br/>
              <w:t>• 第十九条</w:t>
              <w:br/>
              <w:br/>
              <w:t>【合规要点】</w:t>
              <w:br/>
              <w:t>• 投资前进行尽职调查</w:t>
              <w:br/>
              <w:t>• 开展风险评估</w:t>
            </w:r>
          </w:p>
        </w:tc>
      </w:tr>
    </w:tbl>
    <w:p>
      <w:pPr>
        <w:pStyle w:val="Heading2"/>
      </w:pPr>
      <w:r>
        <w:t>合规措施建议</w:t>
      </w:r>
    </w:p>
    <w:p>
      <w:pPr>
        <w:spacing w:after="240"/>
        <w:ind w:firstLine="720"/>
      </w:pPr>
      <w:r>
        <w:t>企业应建立完善的境外投资合规管理体系，重点加强反腐败反贿赂制度建设，确保通过正当途径办理各项审批手续。对涉及敏感国家地区或限制出口技术的投资项目，必须严格履行核准程序。建议企业制定详细的第三方尽职调查程序，加强投资前的风险评估。同时，应补充完善数据保护和反垄断合规制度，参考相关专门法规建立相应管理体系，确保境外投资活动全面合规。</w:t>
      </w:r>
    </w:p>
    <w:p/>
    <w:p/>
    <w:p>
      <w:pPr>
        <w:pStyle w:val="Heading1"/>
      </w:pPr>
      <w:r>
        <w:t>四、财务与市场风险</w:t>
      </w:r>
    </w:p>
    <w:p>
      <w:pPr>
        <w:pStyle w:val="Heading2"/>
      </w:pPr>
      <w:r>
        <w:t>大类法规要求概述</w:t>
      </w:r>
    </w:p>
    <w:p>
      <w:pPr>
        <w:spacing w:after="240"/>
        <w:ind w:firstLine="720"/>
      </w:pPr>
      <w:r>
        <w:t>该法规对财务与市场风险管理的规定相对有限，主要集中在风险防范机制和信息报送两个方面。法规第十九条和第二十二条要求企业建立风险防范机制，包括投资前的风险评估和投资后的突发事件应急管理，这间接涉及到信用风险管理。第二十四条要求企业建立完善的信息报送机制，定期报告境外投资业务情况，这与资金流动性管理存在一定关联。然而，法规对于外汇风险管理和商品价格对冲管理等具体的财务市场风险管理工具和方法没有明确规定。整体而言，该法规更侧重于宏观层面的风险防范要求，而非具体的财务风险管理技术要求，企业需要根据自身业务特点和投资目的地的具体情况，建立更为详细和专业的财务与市场风险管理体系。</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外汇风险管理政策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外汇风险识别、外汇敞口管理、套期保值工具使用、VAR监控等外汇风险管理的具体内容。企业在进行境外投资时，需要自行根据投资目的地的外汇管理法规和自身的外汇风险暴露情况，制定相应的外汇风险管理政策。</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商品价格对冲管理办法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商品价格风险管理、套期保值策略制定、对冲工具授权使用、对冲绩效评估等内容。对于涉及大宗商品交易的境外投资企业，需要根据自身业务特点和市场情况，自行建立商品价格风险管理机制。</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信用风险管理制度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十九条和第二十二条要求企业建立风险防范机制，包括投资前的风险评估和投资后的突发事件应急管理。虽然这些条款没有直接提及信用风险管理的具体技术要求，如客户评级模型、授信限额设定、坏账准备计提等，但风险防范机制的建立隐含了对交易对手信用风险的管理要求。企业需要在投资前评估合作方的信用状况，在投资后持续监控信用风险变化。</w:t>
            </w:r>
          </w:p>
        </w:tc>
        <w:tc>
          <w:tcPr>
            <w:tcW w:type="dxa" w:w="3600"/>
            <w:vAlign w:val="top"/>
          </w:tcPr>
          <w:p>
            <w:pPr>
              <w:spacing w:after="60" w:before="60"/>
            </w:pPr>
            <w:r>
              <w:rPr>
                <w:rFonts w:ascii="Times New Roman" w:hAnsi="Times New Roman" w:eastAsia="宋体"/>
                <w:sz w:val="20"/>
              </w:rPr>
              <w:t>【关键条款】</w:t>
              <w:br/>
              <w:t>• 第十九条：风险防范机制</w:t>
              <w:br/>
              <w:t>• 第二十二条：突发事件应急管理</w:t>
              <w:br/>
              <w:br/>
              <w:t>【合规要点】</w:t>
              <w:br/>
              <w:t>• 建立投资前风险评估机制</w:t>
              <w:br/>
              <w:t>• 建立投资后风险监控机制</w:t>
            </w:r>
          </w:p>
        </w:tc>
      </w:tr>
      <w:tr>
        <w:tc>
          <w:tcPr>
            <w:tcW w:type="dxa" w:w="2160"/>
            <w:vAlign w:val="top"/>
          </w:tcPr>
          <w:p>
            <w:pPr>
              <w:spacing w:after="60" w:before="60"/>
              <w:jc w:val="left"/>
            </w:pPr>
            <w:r>
              <w:rPr>
                <w:rFonts w:ascii="Times New Roman" w:hAnsi="Times New Roman" w:eastAsia="宋体"/>
                <w:sz w:val="20"/>
              </w:rPr>
              <w:t>资金集中与流动性管理办法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四条要求企业建立完善的信息报送机制，定期报告境外投资业务情况。这一要求间接涉及资金流动性管理，因为业务情况报告通常包含资金使用和流动性状况。但法规未对现金池管理、融资安排、备付金底线等具体的流动性管理技术要求作出规定。企业需要通过信息报送机制，向主管部门报告资金使用情况，同时根据自身需要建立更详细的资金集中和流动性管理制度。</w:t>
            </w:r>
          </w:p>
        </w:tc>
        <w:tc>
          <w:tcPr>
            <w:tcW w:type="dxa" w:w="3600"/>
            <w:vAlign w:val="top"/>
          </w:tcPr>
          <w:p>
            <w:pPr>
              <w:spacing w:after="60" w:before="60"/>
            </w:pPr>
            <w:r>
              <w:rPr>
                <w:rFonts w:ascii="Times New Roman" w:hAnsi="Times New Roman" w:eastAsia="宋体"/>
                <w:sz w:val="20"/>
              </w:rPr>
              <w:t>【关键条款】</w:t>
              <w:br/>
              <w:t>• 第二十四条：信息报送机制</w:t>
              <w:br/>
              <w:br/>
              <w:t>【合规要点】</w:t>
              <w:br/>
              <w:t>• 建立信息报送机制</w:t>
              <w:br/>
              <w:t>• 定期报告业务情况</w:t>
            </w:r>
          </w:p>
        </w:tc>
      </w:tr>
    </w:tbl>
    <w:p>
      <w:pPr>
        <w:pStyle w:val="Heading2"/>
      </w:pPr>
      <w:r>
        <w:t>合规措施建议</w:t>
      </w:r>
    </w:p>
    <w:p>
      <w:pPr>
        <w:spacing w:after="240"/>
        <w:ind w:firstLine="720"/>
      </w:pPr>
      <w:r>
        <w:t>企业应重点关注法规要求的风险防范机制和信息报送制度建设。建议建立涵盖投资全流程的风险管理体系，包括投资前的综合风险评估和投资后的持续监控。同时，应建立规范的信息报送机制，确保及时准确地向主管部门报告境外投资业务情况。对于法规未明确规定的外汇风险和商品价格风险管理，企业应根据自身业务特点和国际通行做法，主动建立相应的管理制度。</w:t>
      </w:r>
    </w:p>
    <w:p/>
    <w:p/>
    <w:p>
      <w:pPr>
        <w:pStyle w:val="Heading1"/>
      </w:pPr>
      <w:r>
        <w:t>五、运营与 HSE</w:t>
      </w:r>
    </w:p>
    <w:p>
      <w:pPr>
        <w:pStyle w:val="Heading2"/>
      </w:pPr>
      <w:r>
        <w:t>大类法规要求概述</w:t>
      </w:r>
    </w:p>
    <w:p>
      <w:pPr>
        <w:spacing w:after="240"/>
        <w:ind w:firstLine="720"/>
      </w:pPr>
      <w:r>
        <w:t>该法规对境外投资企业的运营与HSE管理提出了原则性要求，主要集中在三个方面：一是强调企业必须遵守投资目的地的环境保护法律法规，履行环境保护的社会责任；二是要求企业建立健全的安全管理体系，特别是突发事件预警机制和应急预案，确保境外运营的安全性；三是对外派人员的安全培训和管理提出明确要求。法规通过第二十条和第二十二条等条款，构建了境外投资企业HSE管理的基本框架。虽然法规对HSE管理的具体实施细节规定较少，但明确了企业在境外投资过程中必须将环境保护、安全生产和人员安全作为重要的合规义务。这体现了国家对境外投资企业履行社会责任、实现可持续发展的重视，要求企业在追求经济效益的同时，必须重视运营安全和环境保护。</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 HSE 管理体系标准</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通过第二十条和第二十二条对海外HSE管理提出了框架性要求。企业必须遵守投资目的地的法律法规，履行包括环境和劳工保护在内的社会责任。在安全管理方面，企业需建立安全防范措施和应急预案，并对外派人员进行安全及法律培训。法规强调了企业在境外投资全过程中的安全责任，要求建立预警机制以应对突发事件。虽然法规对具体的HSE管理标准、风险评价方法、作业许可制度和PPE配备等技术细节未作详细规定，但明确了企业必须建立符合当地要求的HSE管理机制的基本原则。</w:t>
            </w:r>
          </w:p>
        </w:tc>
        <w:tc>
          <w:tcPr>
            <w:tcW w:type="dxa" w:w="3600"/>
            <w:vAlign w:val="top"/>
          </w:tcPr>
          <w:p>
            <w:pPr>
              <w:spacing w:after="60" w:before="60"/>
            </w:pPr>
            <w:r>
              <w:rPr>
                <w:rFonts w:ascii="Times New Roman" w:hAnsi="Times New Roman" w:eastAsia="宋体"/>
                <w:sz w:val="20"/>
              </w:rPr>
              <w:t>【关键条款】</w:t>
              <w:br/>
              <w:t>• 第二十条：履行社会责任，做好环境、劳工保护</w:t>
              <w:br/>
              <w:t>• 第二十二条：建立安全防范措施和应急预案</w:t>
              <w:br/>
              <w:br/>
              <w:t>【合规要点】</w:t>
              <w:br/>
              <w:t>• 建立符合当地要求的HSE管理体系</w:t>
              <w:br/>
              <w:t>• 定期开展安全培训和应急演练</w:t>
              <w:br/>
              <w:t>• 及时更新应急预案</w:t>
            </w:r>
          </w:p>
        </w:tc>
      </w:tr>
      <w:tr>
        <w:tc>
          <w:tcPr>
            <w:tcW w:type="dxa" w:w="2160"/>
            <w:vAlign w:val="top"/>
          </w:tcPr>
          <w:p>
            <w:pPr>
              <w:spacing w:after="60" w:before="60"/>
              <w:jc w:val="left"/>
            </w:pPr>
            <w:r>
              <w:rPr>
                <w:rFonts w:ascii="Times New Roman" w:hAnsi="Times New Roman" w:eastAsia="宋体"/>
                <w:sz w:val="20"/>
              </w:rPr>
              <w:t>环境与气候变化管理办法（ESG）</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条明确要求企业在境外投资中履行社会责任，做好环境保护工作，这为企业的ESG管理提供了法律依据。企业需确保其境外投资项目符合当地环境保护法律法规，主动构建符合当地环保要求的管理机制。虽然法规未对绿色矿山建设、碳排放目标设定、ESG信息披露等具体内容作出详细规定，但通过强调环境保护的社会责任，为企业开展环境与气候变化管理提供了原则性指导。企业应将环境保护作为境外投资的重要考量因素，在项目运作全过程中贯彻环保理念。</w:t>
            </w:r>
          </w:p>
        </w:tc>
        <w:tc>
          <w:tcPr>
            <w:tcW w:type="dxa" w:w="3600"/>
            <w:vAlign w:val="top"/>
          </w:tcPr>
          <w:p>
            <w:pPr>
              <w:spacing w:after="60" w:before="60"/>
            </w:pPr>
            <w:r>
              <w:rPr>
                <w:rFonts w:ascii="Times New Roman" w:hAnsi="Times New Roman" w:eastAsia="宋体"/>
                <w:sz w:val="20"/>
              </w:rPr>
              <w:t>【关键条款】</w:t>
              <w:br/>
              <w:t>• 第二十条：履行社会责任，做好环境保护</w:t>
              <w:br/>
              <w:t>• 第二十七条：配合监督管理</w:t>
              <w:br/>
              <w:br/>
              <w:t>【合规要点】</w:t>
              <w:br/>
              <w:t>• 遵守当地环保法规</w:t>
              <w:br/>
              <w:t>• 建立环境管理机制</w:t>
              <w:br/>
              <w:t>• 定期评估环境影响</w:t>
            </w:r>
          </w:p>
        </w:tc>
      </w:tr>
      <w:tr>
        <w:tc>
          <w:tcPr>
            <w:tcW w:type="dxa" w:w="2160"/>
            <w:vAlign w:val="top"/>
          </w:tcPr>
          <w:p>
            <w:pPr>
              <w:spacing w:after="60" w:before="60"/>
              <w:jc w:val="left"/>
            </w:pPr>
            <w:r>
              <w:rPr>
                <w:rFonts w:ascii="Times New Roman" w:hAnsi="Times New Roman" w:eastAsia="宋体"/>
                <w:sz w:val="20"/>
              </w:rPr>
              <w:t>生产安全事故预防与应急制度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专门对突发事件的预防和应急管理作出规定，要求企业建立突发事件预警机制和应急预案，确保在境外发生突发事件时能够及时、妥善处理。企业应当在境外投资的整个生命周期内，根据当地实际情况定期评估风险，制定并演练应急预案，确保快速响应安全事故。虽然法规未对具体的SOP制定、应急响应级别划分、演练计划频次等操作细节作出规定，但明确了企业必须建立完善的应急管理机制的基本要求。这要求企业必须具备处理境外突发事件的能力和准备。</w:t>
            </w:r>
          </w:p>
        </w:tc>
        <w:tc>
          <w:tcPr>
            <w:tcW w:type="dxa" w:w="3600"/>
            <w:vAlign w:val="top"/>
          </w:tcPr>
          <w:p>
            <w:pPr>
              <w:spacing w:after="60" w:before="60"/>
            </w:pPr>
            <w:r>
              <w:rPr>
                <w:rFonts w:ascii="Times New Roman" w:hAnsi="Times New Roman" w:eastAsia="宋体"/>
                <w:sz w:val="20"/>
              </w:rPr>
              <w:t>【关键条款】</w:t>
              <w:br/>
              <w:t>• 第二十二条：建立突发事件预警机制和应急预案</w:t>
              <w:br/>
              <w:br/>
              <w:t>【合规要点】</w:t>
              <w:br/>
              <w:t>• 建立健全应急预案</w:t>
              <w:br/>
              <w:t>• 定期开展应急演练</w:t>
              <w:br/>
              <w:t>• 及时报告和处理突发事件</w:t>
            </w:r>
          </w:p>
        </w:tc>
      </w:tr>
      <w:tr>
        <w:tc>
          <w:tcPr>
            <w:tcW w:type="dxa" w:w="2160"/>
            <w:vAlign w:val="top"/>
          </w:tcPr>
          <w:p>
            <w:pPr>
              <w:spacing w:after="60" w:before="60"/>
              <w:jc w:val="left"/>
            </w:pPr>
            <w:r>
              <w:rPr>
                <w:rFonts w:ascii="Times New Roman" w:hAnsi="Times New Roman" w:eastAsia="宋体"/>
                <w:sz w:val="20"/>
              </w:rPr>
              <w:t>供应链风险与可持续采购政策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供应链风险管理和可持续采购政策无相关要求。法规主要聚焦于境外投资的备案、核准程序以及投资主体的直接责任，未涉及供应商ESG准入、产地溯源、童工禁限等供应链管理的具体内容。虽然第二十条要求企业履行社会责任，但这一原则性规定并未延伸至供应链管理领域。企业在境外投资中的供应链管理需要参考其他相关法规和国际标准，法规本身对此子类别无直接约束力。</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设备资产完整性管理制度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设备资产完整性管理制度无相关要求。法规的重点在于境外投资的行政管理程序和宏观层面的合规要求，未涉及关键设备定检、状态监测、残余寿命评估等技术性管理内容。设备资产的完整性管理属于企业内部运营管理范畴，不在该法规的规范范围内。企业需要根据投资目的地的相关技术标准和行业规范，自行建立设备资产管理制度，确保生产运营的安全性和可靠性。</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重点建立三大管理体系：一是符合投资目的地要求的HSE管理体系，包括安全责任制、风险评估和作业许可制度；二是完善的应急管理机制，制定详细的应急预案并定期演练；三是环境保护管理制度，将ESG理念融入投资决策和日常运营。同时，企业应加强外派人员的安全培训，建立与当地政府和社区的沟通机制，定期向主管部门报告HSE管理情况，确保境外投资的可持续发展。</w:t>
      </w:r>
    </w:p>
    <w:p/>
    <w:p/>
    <w:p>
      <w:pPr>
        <w:pStyle w:val="Heading1"/>
      </w:pPr>
      <w:r>
        <w:t>六、安全与危机</w:t>
      </w:r>
    </w:p>
    <w:p>
      <w:pPr>
        <w:pStyle w:val="Heading2"/>
      </w:pPr>
      <w:r>
        <w:t>大类法规要求概述</w:t>
      </w:r>
    </w:p>
    <w:p>
      <w:pPr>
        <w:spacing w:after="240"/>
        <w:ind w:firstLine="720"/>
      </w:pPr>
      <w:r>
        <w:t>法规对境外投资企业的安全与危机管理提出了原则性要求，主要集中在第二十二条。法规要求企业必须建立健全的安全防范体系和突发事件应急机制，包括预警机制、应急预案和人员培训等。虽然法规对安全管理的总体框架有明确要求，但具体实施细则相对简略，未涉及护卫级别、承包商准入等具体操作层面的规定。在危机管理方面，法规强调了应急预案的重要性，要求企业能够在突发事件发生时迅速响应并妥善处理，但对业务连续性计划的具体要求不够详细。值得注意的是，法规完全未涉及政治风险保险等风险转移机制。整体而言，法规为企业境外安全管理提供了基础性指导，但企业需要根据实际情况制定更加详细的实施方案。</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海外安全防护与人员安保管理办法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建立完善的安全防范体系，包括预警机制、应急预案和人员培训。企业必须为外派人员提供必要的安全保障，建立突发事件预警和应急响应机制。虽然法规明确了安全管理的总体要求，但对于具体的护卫级别标准、外派人员安全培训的具体内容和频次、安保承包商的准入标准等操作细节未作详细规定。法规强调企业应根据投资目的地的实际安全状况制定相应的安全防范措施，确保在境外突发事件发生时能够有效保护人员安全。</w:t>
            </w:r>
          </w:p>
        </w:tc>
        <w:tc>
          <w:tcPr>
            <w:tcW w:type="dxa" w:w="3600"/>
            <w:vAlign w:val="top"/>
          </w:tcPr>
          <w:p>
            <w:pPr>
              <w:spacing w:after="60" w:before="60"/>
            </w:pPr>
            <w:r>
              <w:rPr>
                <w:rFonts w:ascii="Times New Roman" w:hAnsi="Times New Roman" w:eastAsia="宋体"/>
                <w:sz w:val="20"/>
              </w:rPr>
              <w:t>【关键条款】</w:t>
              <w:br/>
              <w:t>• 第二十二条</w:t>
              <w:br/>
              <w:br/>
              <w:t>【合规要点】</w:t>
              <w:br/>
              <w:t>• 建立健全安全防范措施</w:t>
              <w:br/>
              <w:t>• 制定应急预案</w:t>
              <w:br/>
              <w:t>• 加强人员安全培训</w:t>
              <w:br/>
              <w:t>• 建立预警机制</w:t>
            </w:r>
          </w:p>
        </w:tc>
      </w:tr>
      <w:tr>
        <w:tc>
          <w:tcPr>
            <w:tcW w:type="dxa" w:w="2160"/>
            <w:vAlign w:val="top"/>
          </w:tcPr>
          <w:p>
            <w:pPr>
              <w:spacing w:after="60" w:before="60"/>
              <w:jc w:val="left"/>
            </w:pPr>
            <w:r>
              <w:rPr>
                <w:rFonts w:ascii="Times New Roman" w:hAnsi="Times New Roman" w:eastAsia="宋体"/>
                <w:sz w:val="20"/>
              </w:rPr>
              <w:t>危机管理与业务连续性计划(BCP)制度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建立突发事件应急预案和响应机制，这构成了危机管理的基础要求。企业应根据境外投资规模和风险情况制定具体的应急预案，确保在突发事件发生时能够有效进行危机管理。然而，法规对于业务连续性计划的具体要求较为有限，未明确规定情景触发条件的设定标准、危机指挥链条的具体架构、备份设施的建设要求等BCP的核心要素。法规更多地强调了应急响应的及时性和有效性，但对于如何确保业务在危机期间的持续运营缺乏详细指导。</w:t>
            </w:r>
          </w:p>
        </w:tc>
        <w:tc>
          <w:tcPr>
            <w:tcW w:type="dxa" w:w="3600"/>
            <w:vAlign w:val="top"/>
          </w:tcPr>
          <w:p>
            <w:pPr>
              <w:spacing w:after="60" w:before="60"/>
            </w:pPr>
            <w:r>
              <w:rPr>
                <w:rFonts w:ascii="Times New Roman" w:hAnsi="Times New Roman" w:eastAsia="宋体"/>
                <w:sz w:val="20"/>
              </w:rPr>
              <w:t>【关键条款】</w:t>
              <w:br/>
              <w:t>• 第二十二条</w:t>
              <w:br/>
              <w:br/>
              <w:t>【合规要点】</w:t>
              <w:br/>
              <w:t>• 制定应急预案</w:t>
              <w:br/>
              <w:t>• 明确危机响应机制</w:t>
              <w:br/>
              <w:t>• 建立指挥体系</w:t>
              <w:br/>
              <w:t>• 定期演练和更新</w:t>
            </w:r>
          </w:p>
        </w:tc>
      </w:tr>
      <w:tr>
        <w:tc>
          <w:tcPr>
            <w:tcW w:type="dxa" w:w="2160"/>
            <w:vAlign w:val="top"/>
          </w:tcPr>
          <w:p>
            <w:pPr>
              <w:spacing w:after="60" w:before="60"/>
              <w:jc w:val="left"/>
            </w:pPr>
            <w:r>
              <w:rPr>
                <w:rFonts w:ascii="Times New Roman" w:hAnsi="Times New Roman" w:eastAsia="宋体"/>
                <w:sz w:val="20"/>
              </w:rPr>
              <w:t>政治风险保险与风险转移指引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政治风险保险的投保要求、适用情形、投保流程或索赔协作等内容。法规主要关注企业自身的风险防范和应急管理能力建设，而未将风险转移机制如政治风险保险纳入监管要求范围。企业如需通过保险等方式转移境外投资的政治风险，需要自行根据投资目的地的风险状况和自身风险承受能力进行决策，法规对此既无强制要求也无指导性建议。</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重点建立健全境外安全管理体系，制定完善的安全防范措施和应急预案，明确预警机制和响应流程。加强外派人员的安全培训，建立定期演练机制。虽然法规未强制要求政治风险保险，但建议企业根据投资目的地风险状况自主评估是否需要购买相关保险。定期评估和更新安全管理措施，确保与当地安全形势相适应，并与商务主管部门保持信息沟通。</w:t>
      </w:r>
    </w:p>
    <w:p/>
    <w:p/>
    <w:p>
      <w:pPr>
        <w:pStyle w:val="Heading1"/>
      </w:pPr>
      <w:r>
        <w:t>七、信息与网络安全</w:t>
      </w:r>
    </w:p>
    <w:p>
      <w:pPr>
        <w:pStyle w:val="Heading2"/>
      </w:pPr>
      <w:r>
        <w:t>大类法规要求概述</w:t>
      </w:r>
    </w:p>
    <w:p>
      <w:pPr>
        <w:spacing w:after="240"/>
        <w:ind w:firstLine="720"/>
      </w:pPr>
      <w:r>
        <w:t>根据收集到的法规信息，当前法规体系对信息与网络安全大类没有直接的具体规定。法规主要聚焦于企业境外投资的社会责任、劳工保护、人员安全管理等方面，对于网络安全、信息系统管理、工控系统安全以及信息分类分级等技术性安全要求暂无明确条款。这反映出现行境外投资法规体系更侧重于传统的合规要求，对于数字化时代的信息安全风险管理尚未形成系统性的规范。企业在境外投资过程中，虽然法规未对信息安全提出明确要求，但考虑到境外经营的复杂性和数据跨境流动的敏感性，企业仍需主动建立相应的信息安全管理体系，以防范潜在的网络安全风险和数据泄露风险。</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网络安全与信息系统管理制度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现行境外投资法规未对企业的网络安全管理、信息系统建设、等保合规、漏洞管理、日志留存等方面提出具体要求。法规重点关注的是企业在境外的社会责任履行、劳工保护和人员安全管理，对于信息技术层面的安全管理暂无涉及。</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工控系统安全规范</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工业控制系统的安全管理要求，包括分层隔离、白名单管理、补丁更新等技术性安全措施。现有法规框架主要围绕企业境外投资的宏观合规要求，对于涉及生产运营的工控系统安全防护尚未形成规范性要求。</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信息分类分级与保密管理办法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企业在境外投资过程中的信息分类分级、涉密信息管理、载体管控、泄密处置等保密管理事项作出规定。虽然法规要求企业遵守投资目的地的法律法规，但对于信息保密管理的具体要求并未明确。</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鉴于现行法规对信息与网络安全领域暂无具体要求，企业应主动参考国内网络安全法、数据安全法等相关法规，结合投资目的地的信息安全法律要求，建立健全的信息安全管理体系。重点关注跨境数据传输合规、关键信息基础设施保护、个人信息保护等方面，制定相应的管理制度和技术防护措施，确保境外投资活动中的信息安全。</w:t>
      </w:r>
    </w:p>
    <w:p/>
    <w:p/>
    <w:p>
      <w:pPr>
        <w:pStyle w:val="Heading1"/>
      </w:pPr>
      <w:r>
        <w:t>八、社会责任与人力</w:t>
      </w:r>
    </w:p>
    <w:p>
      <w:pPr>
        <w:pStyle w:val="Heading2"/>
      </w:pPr>
      <w:r>
        <w:t>大类法规要求概述</w:t>
      </w:r>
    </w:p>
    <w:p>
      <w:pPr>
        <w:spacing w:after="240"/>
        <w:ind w:firstLine="720"/>
      </w:pPr>
      <w:r>
        <w:t>该法规对境外投资企业的社会责任与人力管理提出了原则性要求，主要体现在三个层面：一是强调企业必须遵守投资目的地的法律法规，尊重当地风俗习惯，履行社会责任；二是明确要求做好环境保护、劳工保护等具体工作；三是对外派人员的安全管理提出了较为具体的要求，包括建立突发事件预警机制、应急预案、安全教育培训以及办理合法居留和工作许可等。法规第二十条集中规定了社会责任相关要求，第二十二条则专门针对人员安全管理作出规定。整体而言，法规在社会责任方面以指导性条款为主，缺乏具体的实施细则和处罚措施，但为企业境外投资的社会责任履行提供了基本框架和方向性指引。</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社区关系与社会责任(CSR)政策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条要求企业境外投资必须遵守当地法律法规，尊重当地风俗习惯，履行社会责任。企业在境外投资前应深入研究投资目的地的社会文化环境和社区需求，投资后确保相关责任措施落地，积极融入当地社会。法规强调了履行社会责任的原则性要求，包括环境保护、劳工保护等方面，但对于社区沟通、基础设施支持、公益投入等具体CSR政策内容未作详细规定。法规未单独列出因未履行社会责任而适用的具体处罚措施，但违反相关规定可能受到商务主管部门的管理规定及后续处罚。</w:t>
            </w:r>
          </w:p>
        </w:tc>
        <w:tc>
          <w:tcPr>
            <w:tcW w:type="dxa" w:w="3600"/>
            <w:vAlign w:val="top"/>
          </w:tcPr>
          <w:p>
            <w:pPr>
              <w:spacing w:after="60" w:before="60"/>
            </w:pPr>
            <w:r>
              <w:rPr>
                <w:rFonts w:ascii="Times New Roman" w:hAnsi="Times New Roman" w:eastAsia="宋体"/>
                <w:sz w:val="20"/>
              </w:rPr>
              <w:t>【关键条款】</w:t>
              <w:br/>
              <w:t>• 第二十条</w:t>
              <w:br/>
              <w:br/>
              <w:t>【合规要点】</w:t>
              <w:br/>
              <w:t>• 遵守当地法律法规</w:t>
              <w:br/>
              <w:t>• 尊重当地风俗习惯</w:t>
              <w:br/>
              <w:t>• 履行社会责任</w:t>
            </w:r>
          </w:p>
        </w:tc>
      </w:tr>
      <w:tr>
        <w:tc>
          <w:tcPr>
            <w:tcW w:type="dxa" w:w="2160"/>
            <w:vAlign w:val="top"/>
          </w:tcPr>
          <w:p>
            <w:pPr>
              <w:spacing w:after="60" w:before="60"/>
              <w:jc w:val="left"/>
            </w:pPr>
            <w:r>
              <w:rPr>
                <w:rFonts w:ascii="Times New Roman" w:hAnsi="Times New Roman" w:eastAsia="宋体"/>
                <w:sz w:val="20"/>
              </w:rPr>
              <w:t>人权与劳工标准政策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条明确要求企业必须做好劳工保护工作，确保境外企业遵守当地法律法规。企业在境外投资前应评估当地的劳工法律法规及国际劳工公约要求，投资后应建立健全劳工保护及人权保障的内部监督和管理机制。法规对劳工保护提出了原则性要求，但对于国际劳工公约遵守、平等雇佣政策、强迫劳动禁令等具体人权与劳工标准内容未作详细规定。虽然法规未就劳工标准制定单独的处罚规定，但违反整体境外投资管理办法的行为将受到商务主管部门的处罚。</w:t>
            </w:r>
          </w:p>
        </w:tc>
        <w:tc>
          <w:tcPr>
            <w:tcW w:type="dxa" w:w="3600"/>
            <w:vAlign w:val="top"/>
          </w:tcPr>
          <w:p>
            <w:pPr>
              <w:spacing w:after="60" w:before="60"/>
            </w:pPr>
            <w:r>
              <w:rPr>
                <w:rFonts w:ascii="Times New Roman" w:hAnsi="Times New Roman" w:eastAsia="宋体"/>
                <w:sz w:val="20"/>
              </w:rPr>
              <w:t>【关键条款】</w:t>
              <w:br/>
              <w:t>• 第二十条</w:t>
              <w:br/>
              <w:br/>
              <w:t>【合规要点】</w:t>
              <w:br/>
              <w:t>• 做好劳工保护工作</w:t>
              <w:br/>
              <w:t>• 遵守当地劳工法规</w:t>
              <w:br/>
              <w:t>• 建立内部监督机制</w:t>
            </w:r>
          </w:p>
        </w:tc>
      </w:tr>
      <w:tr>
        <w:tc>
          <w:tcPr>
            <w:tcW w:type="dxa" w:w="2160"/>
            <w:vAlign w:val="top"/>
          </w:tcPr>
          <w:p>
            <w:pPr>
              <w:spacing w:after="60" w:before="60"/>
              <w:jc w:val="left"/>
            </w:pPr>
            <w:r>
              <w:rPr>
                <w:rFonts w:ascii="Times New Roman" w:hAnsi="Times New Roman" w:eastAsia="宋体"/>
                <w:sz w:val="20"/>
              </w:rPr>
              <w:t>海外员工健康与福利管理制度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建立突发事件预警机制和应急预案，确保在境外发生突发事件时能够及时、妥善处理。企业必须建立安全防范措施，做好外派人员的安全教育和培训，办理合法居留和工作许可。企业在境外投资过程中必须对外派人员进行全面的安全、健康与福利管理，包括行前培训、在地安全保障以及突发事件应急处理。法规主要侧重于安全管理和应急处理，对于医疗保险、心理援助等具体福利措施未作详细规定。未落实安全与健康管理措施可能受到商务主管部门处罚。</w:t>
            </w:r>
          </w:p>
        </w:tc>
        <w:tc>
          <w:tcPr>
            <w:tcW w:type="dxa" w:w="3600"/>
            <w:vAlign w:val="top"/>
          </w:tcPr>
          <w:p>
            <w:pPr>
              <w:spacing w:after="60" w:before="60"/>
            </w:pPr>
            <w:r>
              <w:rPr>
                <w:rFonts w:ascii="Times New Roman" w:hAnsi="Times New Roman" w:eastAsia="宋体"/>
                <w:sz w:val="20"/>
              </w:rPr>
              <w:t>【关键条款】</w:t>
              <w:br/>
              <w:t>• 第二十二条</w:t>
              <w:br/>
              <w:br/>
              <w:t>【合规要点】</w:t>
              <w:br/>
              <w:t>• 建立预警机制和应急预案</w:t>
              <w:br/>
              <w:t>• 做好安全教育培训</w:t>
              <w:br/>
              <w:t>• 办理合法居留和工作许可</w:t>
            </w:r>
          </w:p>
        </w:tc>
      </w:tr>
    </w:tbl>
    <w:p>
      <w:pPr>
        <w:pStyle w:val="Heading2"/>
      </w:pPr>
      <w:r>
        <w:t>合规措施建议</w:t>
      </w:r>
    </w:p>
    <w:p>
      <w:pPr>
        <w:spacing w:after="240"/>
        <w:ind w:firstLine="720"/>
      </w:pPr>
      <w:r>
        <w:t>企业应建立完善的境外社会责任管理体系，制定涵盖CSR政策、劳工保护和员工安全管理的综合制度。重点做好投资前的社会文化环境调研，建立与当地社区的沟通机制，确保劳工权益保护符合当地法规要求。同时，必须建立健全的外派人员管理体系，包括选派审查、行前培训、安全防范和应急预案，确保员工在海外的合法权益和人身安全。定期向商务主管部门报告社会责任履行情况。</w:t>
      </w:r>
    </w:p>
    <w:p/>
    <w:p>
      <w:r>
        <w:t>________________________________________________________________________________</w:t>
      </w:r>
    </w:p>
    <w:p>
      <w:pPr>
        <w:jc w:val="center"/>
      </w:pPr>
      <w:r>
        <w:rPr>
          <w:color w:val="808080"/>
          <w:sz w:val="18"/>
        </w:rPr>
        <w:t>生成时间：2025年05月29日 10:15:33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eastAsia="黑体"/>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eastAsia="黑体"/>
      <w:b/>
      <w:bCs/>
      <w:color w:val="333333"/>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eastAsia="黑体"/>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