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orkcast-business-plan"/>
      <w:r>
        <w:t xml:space="preserve">Forkcast — Business Plan</w:t>
      </w:r>
      <w:bookmarkEnd w:id="20"/>
    </w:p>
    <w:p>
      <w:pPr>
        <w:pStyle w:val="FirstParagraph"/>
      </w:pPr>
      <w:r>
        <w:rPr>
          <w:b/>
        </w:rPr>
        <w:t xml:space="preserve">The trust layer for restaurant nutrition decisions.</w:t>
      </w:r>
      <w:r>
        <w:t xml:space="preserve"> </w:t>
      </w:r>
      <w:r>
        <w:t xml:space="preserve">Forkcast tells diners what to order</w:t>
      </w:r>
      <w:r>
        <w:t xml:space="preserve"> </w:t>
      </w:r>
      <w:r>
        <w:rPr>
          <w:i/>
        </w:rPr>
        <w:t xml:space="preserve">before</w:t>
      </w:r>
      <w:r>
        <w:t xml:space="preserve"> </w:t>
      </w:r>
      <w:r>
        <w:t xml:space="preserve">they order — scored against their own body and goals — then closes the loop: order, confirm, log, measure. It is the only product connecting pre-order decision support, verified independent-restaurant nutrition data, and post-order confirmed logging.</w:t>
      </w:r>
    </w:p>
    <w:p>
      <w:pPr>
        <w:pStyle w:val="BodyText"/>
      </w:pPr>
      <w:r>
        <w:rPr>
          <w:i/>
        </w:rPr>
        <w:t xml:space="preserve">Version 2.1 — July 2026. Prepared for pre-seed conversations and as part of the founders’ evidence record. All market figures are sourced (CDC, USDA ERS, AHRQ, peer-reviewed literature, company filings/press; see</w:t>
      </w:r>
      <w:r>
        <w:rPr>
          <w:i/>
        </w:rPr>
        <w:t xml:space="preserve"> </w:t>
      </w:r>
      <w:r>
        <w:rPr>
          <w:rStyle w:val="VerbatimChar"/>
          <w:i/>
        </w:rPr>
        <w:t xml:space="preserve">RESEARCH.md</w:t>
      </w:r>
      <w:r>
        <w:rPr>
          <w:i/>
        </w:rPr>
        <w:t xml:space="preserve">); competitive claims from live site captures dated July 15, 2026 (see</w:t>
      </w:r>
      <w:r>
        <w:rPr>
          <w:i/>
        </w:rPr>
        <w:t xml:space="preserve"> </w:t>
      </w:r>
      <w:r>
        <w:rPr>
          <w:rStyle w:val="VerbatimChar"/>
          <w:i/>
        </w:rPr>
        <w:t xml:space="preserve">COMPETITIVE_SCAN_2026-07.md</w:t>
      </w:r>
      <w:r>
        <w:rPr>
          <w:i/>
        </w:rPr>
        <w:t xml:space="preserve">). Nothing in this document claims users, partners, revenue, or outcomes that do not exist.</w:t>
      </w:r>
    </w:p>
    <w:p>
      <w:r>
        <w:pict>
          <v:rect style="width:0;height:1.5pt" o:hralign="center" o:hrstd="t" o:hr="t"/>
        </w:pict>
      </w:r>
    </w:p>
    <w:p>
      <w:pPr>
        <w:pStyle w:val="Heading2"/>
      </w:pPr>
      <w:bookmarkStart w:id="21" w:name="the-answer-first"/>
      <w:r>
        <w:t xml:space="preserve">0. The answer first</w:t>
      </w:r>
      <w:bookmarkEnd w:id="21"/>
    </w:p>
    <w:p>
      <w:pPr>
        <w:pStyle w:val="FirstParagraph"/>
      </w:pPr>
      <w:r>
        <w:rPr>
          <w:b/>
        </w:rPr>
        <w:t xml:space="preserve">Americans eat out more than ever, decide blind, and every existing app reacts only after the plate is empty.</w:t>
      </w:r>
      <w:r>
        <w:t xml:space="preserve"> </w:t>
      </w:r>
      <w:r>
        <w:t xml:space="preserve">The category leader for</w:t>
      </w:r>
      <w:r>
        <w:t xml:space="preserve"> </w:t>
      </w:r>
      <w:r>
        <w:t xml:space="preserve">“</w:t>
      </w:r>
      <w:r>
        <w:t xml:space="preserve">eat out healthy</w:t>
      </w:r>
      <w:r>
        <w:t xml:space="preserve">”</w:t>
      </w:r>
      <w:r>
        <w:t xml:space="preserve"> </w:t>
      </w:r>
      <w:r>
        <w:t xml:space="preserve">markets AI guesses across 22 million locations as facts; the logging giants own the aftermath; the delivery marketplaces own the transaction. Nobody owns the</w:t>
      </w:r>
      <w:r>
        <w:t xml:space="preserve"> </w:t>
      </w:r>
      <w:r>
        <w:rPr>
          <w:i/>
        </w:rPr>
        <w:t xml:space="preserve">decision</w:t>
      </w:r>
      <w:r>
        <w:t xml:space="preserve"> </w:t>
      </w:r>
      <w:r>
        <w:t xml:space="preserve">— and nobody at all serves the ~65% of U.S. restaurants that are independent and exempt from federal menu labeling.</w:t>
      </w:r>
    </w:p>
    <w:p>
      <w:pPr>
        <w:pStyle w:val="BodyText"/>
      </w:pPr>
      <w:r>
        <w:rPr>
          <w:b/>
        </w:rPr>
        <w:t xml:space="preserve">Forkcast owns the decision, and earns the right to with honesty no competitor structurally can match:</w:t>
      </w:r>
      <w:r>
        <w:t xml:space="preserve"> </w:t>
      </w:r>
      <w:r>
        <w:t xml:space="preserve">every nutrition number carries its source and a ± range, restaurants review and correct their own data through a versioned public process, sponsored placement can never touch the score, and the personal calorie target itself recalibrates from the user’s own measured energy balance. The full product — decision → order → restaurant terminal → confirmed log → adaptive measurement —</w:t>
      </w:r>
      <w:r>
        <w:t xml:space="preserve"> </w:t>
      </w:r>
      <w:r>
        <w:rPr>
          <w:b/>
        </w:rPr>
        <w:t xml:space="preserve">exists and works today</w:t>
      </w:r>
      <w:r>
        <w:t xml:space="preserve"> </w:t>
      </w:r>
      <w:r>
        <w:t xml:space="preserve">(this repository, 38+ dated commits, live demo).</w:t>
      </w:r>
    </w:p>
    <w:p>
      <w:pPr>
        <w:pStyle w:val="BodyText"/>
      </w:pPr>
      <w:r>
        <w:rPr>
          <w:b/>
        </w:rPr>
        <w:t xml:space="preserve">The ask: ~$1.0–1.5M pre-seed SAFE (~$5–6M post) plus non-dilutive SBIR</w:t>
      </w:r>
      <w:r>
        <w:t xml:space="preserve">, to run the Boston pilot against six pre-registered metrics, convert the first independent restaurants into verified partners, and prove retention economics.</w:t>
      </w:r>
    </w:p>
    <w:p>
      <w:r>
        <w:pict>
          <v:rect style="width:0;height:1.5pt" o:hralign="center" o:hrstd="t" o:hr="t"/>
        </w:pict>
      </w:r>
    </w:p>
    <w:p>
      <w:pPr>
        <w:pStyle w:val="Heading2"/>
      </w:pPr>
      <w:bookmarkStart w:id="22" w:name="Xdf58d04560caa5c3bc882b5bd619cd9216a599b"/>
      <w:r>
        <w:t xml:space="preserve">1. Situation — eating out is where American diets are decided</w:t>
      </w:r>
      <w:bookmarkEnd w:id="22"/>
    </w:p>
    <w:tbl>
      <w:tblPr>
        <w:tblStyle w:val="Table"/>
        <w:tblW w:type="pct" w:w="5000.0"/>
        <w:tblBorders>
          <w:top w:val="single" w:sz="4" w:color="CCCCCC"/>
          <w:bottom w:val="single" w:sz="4" w:color="CCCCCC"/>
          <w:insideH w:val="single" w:sz="4" w:color="CCCCCC"/>
        </w:tblBorders>
        <w:tblLook w:firstRow="1"/>
      </w:tblPr>
      <w:tblGrid>
        <w:gridCol w:w="2640"/>
        <w:gridCol w:w="2640"/>
        <w:gridCol w:w="2640"/>
      </w:tblGrid>
      <w:tr>
        <w:trPr>
          <w:cnfStyle w:firstRow="1"/>
        </w:trPr>
        <w:tc>
          <w:tcPr>
            <w:tcBorders>
              <w:bottom w:val="single"/>
            </w:tcBorders>
            <w:vAlign w:val="bottom"/>
          </w:tcPr>
          <w:p>
            <w:pPr>
              <w:pStyle w:val="Compact"/>
              <w:jc w:val="left"/>
            </w:pPr>
            <w:r>
              <w:rPr>
                <w:rFonts w:ascii="Helvetica Neue" w:hAnsi="Helvetica Neue"/>
              </w:rPr>
              <w:t xml:space="preserve">Fact</w:t>
            </w:r>
          </w:p>
        </w:tc>
        <w:tc>
          <w:tcPr>
            <w:tcBorders>
              <w:bottom w:val="single"/>
            </w:tcBorders>
            <w:vAlign w:val="bottom"/>
          </w:tcPr>
          <w:p>
            <w:pPr>
              <w:pStyle w:val="Compact"/>
              <w:jc w:val="left"/>
            </w:pPr>
            <w:r>
              <w:rPr>
                <w:rFonts w:ascii="Helvetica Neue" w:hAnsi="Helvetica Neue"/>
              </w:rPr>
              <w:t xml:space="preserve">Figure</w:t>
            </w:r>
          </w:p>
        </w:tc>
        <w:tc>
          <w:tcPr>
            <w:tcBorders>
              <w:bottom w:val="single"/>
            </w:tcBorders>
            <w:vAlign w:val="bottom"/>
          </w:tcPr>
          <w:p>
            <w:pPr>
              <w:pStyle w:val="Compact"/>
              <w:jc w:val="left"/>
            </w:pPr>
            <w:r>
              <w:rPr>
                <w:rFonts w:ascii="Helvetica Neue" w:hAnsi="Helvetica Neue"/>
              </w:rPr>
              <w:t xml:space="preserve">Source</w:t>
            </w:r>
          </w:p>
        </w:tc>
      </w:tr>
      <w:tr>
        <w:tc>
          <w:p>
            <w:pPr>
              <w:pStyle w:val="Compact"/>
              <w:jc w:val="left"/>
            </w:pPr>
            <w:r>
              <w:rPr>
                <w:rFonts w:ascii="Helvetica Neue" w:hAnsi="Helvetica Neue"/>
              </w:rPr>
              <w:t xml:space="preserve">Food spending eaten away from home</w:t>
            </w:r>
          </w:p>
        </w:tc>
        <w:tc>
          <w:p>
            <w:pPr>
              <w:pStyle w:val="Compact"/>
              <w:jc w:val="left"/>
            </w:pPr>
            <w:r>
              <w:rPr>
                <w:rFonts w:ascii="Helvetica Neue" w:hAnsi="Helvetica Neue"/>
                <w:b/>
              </w:rPr>
              <w:t xml:space="preserve">58.5%</w:t>
            </w:r>
            <w:r>
              <w:rPr>
                <w:rFonts w:ascii="Helvetica Neue" w:hAnsi="Helvetica Neue"/>
              </w:rPr>
              <w:t xml:space="preserve"> </w:t>
            </w:r>
            <w:r>
              <w:rPr>
                <w:rFonts w:ascii="Helvetica Neue" w:hAnsi="Helvetica Neue"/>
              </w:rPr>
              <w:t xml:space="preserve">(record; $4,485/capita, +12% YoY)</w:t>
            </w:r>
          </w:p>
        </w:tc>
        <w:tc>
          <w:p>
            <w:pPr>
              <w:pStyle w:val="Compact"/>
              <w:jc w:val="left"/>
            </w:pPr>
            <w:r>
              <w:rPr>
                <w:rFonts w:ascii="Helvetica Neue" w:hAnsi="Helvetica Neue"/>
              </w:rPr>
              <w:t xml:space="preserve">USDA ERS Food Expenditure Series, 2024</w:t>
            </w:r>
          </w:p>
        </w:tc>
      </w:tr>
      <w:tr>
        <w:tc>
          <w:p>
            <w:pPr>
              <w:pStyle w:val="Compact"/>
              <w:jc w:val="left"/>
            </w:pPr>
            <w:r>
              <w:rPr>
                <w:rFonts w:ascii="Helvetica Neue" w:hAnsi="Helvetica Neue"/>
              </w:rPr>
              <w:t xml:space="preserve">Daily calories from food away from home</w:t>
            </w:r>
          </w:p>
        </w:tc>
        <w:tc>
          <w:p>
            <w:pPr>
              <w:pStyle w:val="Compact"/>
              <w:jc w:val="left"/>
            </w:pPr>
            <w:r>
              <w:rPr>
                <w:rFonts w:ascii="Helvetica Neue" w:hAnsi="Helvetica Neue"/>
              </w:rPr>
              <w:t xml:space="preserve">~1/3 of adults’ calories</w:t>
            </w:r>
          </w:p>
        </w:tc>
        <w:tc>
          <w:p>
            <w:pPr>
              <w:pStyle w:val="Compact"/>
              <w:jc w:val="left"/>
            </w:pPr>
            <w:r>
              <w:rPr>
                <w:rFonts w:ascii="Helvetica Neue" w:hAnsi="Helvetica Neue"/>
              </w:rPr>
              <w:t xml:space="preserve">USDA ERS / NHANES (directional)</w:t>
            </w:r>
          </w:p>
        </w:tc>
      </w:tr>
      <w:tr>
        <w:tc>
          <w:p>
            <w:pPr>
              <w:pStyle w:val="Compact"/>
              <w:jc w:val="left"/>
            </w:pPr>
            <w:r>
              <w:rPr>
                <w:rFonts w:ascii="Helvetica Neue" w:hAnsi="Helvetica Neue"/>
              </w:rPr>
              <w:t xml:space="preserve">Restaurant vs. home meal</w:t>
            </w:r>
          </w:p>
        </w:tc>
        <w:tc>
          <w:p>
            <w:pPr>
              <w:pStyle w:val="Compact"/>
              <w:jc w:val="left"/>
            </w:pPr>
            <w:r>
              <w:rPr>
                <w:rFonts w:ascii="Helvetica Neue" w:hAnsi="Helvetica Neue"/>
                <w:b/>
              </w:rPr>
              <w:t xml:space="preserve">+~200 kcal, +~350 mg sodium</w:t>
            </w:r>
          </w:p>
        </w:tc>
        <w:tc>
          <w:p>
            <w:pPr>
              <w:pStyle w:val="Compact"/>
              <w:jc w:val="left"/>
            </w:pPr>
            <w:r>
              <w:rPr>
                <w:rFonts w:ascii="Helvetica Neue" w:hAnsi="Helvetica Neue"/>
              </w:rPr>
              <w:t xml:space="preserve">USDA ERS</w:t>
            </w:r>
          </w:p>
        </w:tc>
      </w:tr>
      <w:tr>
        <w:tc>
          <w:p>
            <w:pPr>
              <w:pStyle w:val="Compact"/>
              <w:jc w:val="left"/>
            </w:pPr>
            <w:r>
              <w:rPr>
                <w:rFonts w:ascii="Helvetica Neue" w:hAnsi="Helvetica Neue"/>
              </w:rPr>
              <w:t xml:space="preserve">Diners who underestimate restaurant calories</w:t>
            </w:r>
          </w:p>
        </w:tc>
        <w:tc>
          <w:p>
            <w:pPr>
              <w:pStyle w:val="Compact"/>
              <w:jc w:val="left"/>
            </w:pPr>
            <w:r>
              <w:rPr>
                <w:rFonts w:ascii="Helvetica Neue" w:hAnsi="Helvetica Neue"/>
                <w:b/>
              </w:rPr>
              <w:t xml:space="preserve">~2 in 3</w:t>
            </w:r>
            <w:r>
              <w:rPr>
                <w:rFonts w:ascii="Helvetica Neue" w:hAnsi="Helvetica Neue"/>
              </w:rPr>
              <w:t xml:space="preserve">; ~25% by 500+ kcal</w:t>
            </w:r>
          </w:p>
        </w:tc>
        <w:tc>
          <w:p>
            <w:pPr>
              <w:pStyle w:val="Compact"/>
              <w:jc w:val="left"/>
            </w:pPr>
            <w:r>
              <w:rPr>
                <w:rFonts w:ascii="Helvetica Neue" w:hAnsi="Helvetica Neue"/>
              </w:rPr>
              <w:t xml:space="preserve">USDA / NHANES, 2024</w:t>
            </w:r>
          </w:p>
        </w:tc>
      </w:tr>
      <w:tr>
        <w:tc>
          <w:p>
            <w:pPr>
              <w:pStyle w:val="Compact"/>
              <w:jc w:val="left"/>
            </w:pPr>
            <w:r>
              <w:rPr>
                <w:rFonts w:ascii="Helvetica Neue" w:hAnsi="Helvetica Neue"/>
              </w:rPr>
              <w:t xml:space="preserve">Behavior change from mandatory calorie labels</w:t>
            </w:r>
          </w:p>
        </w:tc>
        <w:tc>
          <w:p>
            <w:pPr>
              <w:pStyle w:val="Compact"/>
              <w:jc w:val="left"/>
            </w:pPr>
            <w:r>
              <w:rPr>
                <w:rFonts w:ascii="Helvetica Neue" w:hAnsi="Helvetica Neue"/>
                <w:b/>
              </w:rPr>
              <w:t xml:space="preserve">~24 fewer kcal/transaction</w:t>
            </w:r>
            <w:r>
              <w:rPr>
                <w:rFonts w:ascii="Helvetica Neue" w:hAnsi="Helvetica Neue"/>
              </w:rPr>
              <w:t xml:space="preserve"> </w:t>
            </w:r>
            <w:r>
              <w:rPr>
                <w:rFonts w:ascii="Helvetica Neue" w:hAnsi="Helvetica Neue"/>
              </w:rPr>
              <w:t xml:space="preserve">(often null in fast food)</w:t>
            </w:r>
          </w:p>
        </w:tc>
        <w:tc>
          <w:p>
            <w:pPr>
              <w:pStyle w:val="Compact"/>
              <w:jc w:val="left"/>
            </w:pPr>
            <w:r>
              <w:rPr>
                <w:rFonts w:ascii="Helvetica Neue" w:hAnsi="Helvetica Neue"/>
              </w:rPr>
              <w:t xml:space="preserve">Peer-reviewed labeling literature</w:t>
            </w:r>
          </w:p>
        </w:tc>
      </w:tr>
      <w:tr>
        <w:tc>
          <w:p>
            <w:pPr>
              <w:pStyle w:val="Compact"/>
              <w:jc w:val="left"/>
            </w:pPr>
            <w:r>
              <w:rPr>
                <w:rFonts w:ascii="Helvetica Neue" w:hAnsi="Helvetica Neue"/>
              </w:rPr>
              <w:t xml:space="preserve">U.S. adult obesity / overweight</w:t>
            </w:r>
          </w:p>
        </w:tc>
        <w:tc>
          <w:p>
            <w:pPr>
              <w:pStyle w:val="Compact"/>
              <w:jc w:val="left"/>
            </w:pPr>
            <w:r>
              <w:rPr>
                <w:rFonts w:ascii="Helvetica Neue" w:hAnsi="Helvetica Neue"/>
                <w:b/>
              </w:rPr>
              <w:t xml:space="preserve">40.3% obese + 31.7% overweight ≈ 72%</w:t>
            </w:r>
          </w:p>
        </w:tc>
        <w:tc>
          <w:p>
            <w:pPr>
              <w:pStyle w:val="Compact"/>
              <w:jc w:val="left"/>
            </w:pPr>
            <w:r>
              <w:rPr>
                <w:rFonts w:ascii="Helvetica Neue" w:hAnsi="Helvetica Neue"/>
              </w:rPr>
              <w:t xml:space="preserve">CDC NCHS, 2024</w:t>
            </w:r>
          </w:p>
        </w:tc>
      </w:tr>
      <w:tr>
        <w:tc>
          <w:p>
            <w:pPr>
              <w:pStyle w:val="Compact"/>
              <w:jc w:val="left"/>
            </w:pPr>
            <w:r>
              <w:rPr>
                <w:rFonts w:ascii="Helvetica Neue" w:hAnsi="Helvetica Neue"/>
              </w:rPr>
              <w:t xml:space="preserve">Diet-related disease cost</w:t>
            </w:r>
          </w:p>
        </w:tc>
        <w:tc>
          <w:p>
            <w:pPr>
              <w:pStyle w:val="Compact"/>
              <w:jc w:val="left"/>
            </w:pPr>
            <w:r>
              <w:rPr>
                <w:rFonts w:ascii="Helvetica Neue" w:hAnsi="Helvetica Neue"/>
                <w:b/>
              </w:rPr>
              <w:t xml:space="preserve">~$334B/yr</w:t>
            </w:r>
            <w:r>
              <w:rPr>
                <w:rFonts w:ascii="Helvetica Neue" w:hAnsi="Helvetica Neue"/>
              </w:rPr>
              <w:t xml:space="preserve">; obesity ~</w:t>
            </w:r>
            <m:oMath>
              <m:r>
                <m:t>173</m:t>
              </m:r>
              <m:r>
                <m:t>B</m:t>
              </m:r>
              <m:r>
                <m:t>/</m:t>
              </m:r>
              <m:r>
                <m:t>y</m:t>
              </m:r>
              <m:r>
                <m:t>r</m:t>
              </m:r>
              <m:r>
                <m:t>(</m:t>
              </m:r>
              <m:r>
                <m:t>2019</m:t>
              </m:r>
            </m:oMath>
            <w:r>
              <w:rPr>
                <w:rFonts w:ascii="Helvetica Neue" w:hAnsi="Helvetica Neue"/>
              </w:rPr>
              <w:t xml:space="preserve">)</w:t>
            </w:r>
          </w:p>
        </w:tc>
        <w:tc>
          <w:p>
            <w:pPr>
              <w:pStyle w:val="Compact"/>
              <w:jc w:val="left"/>
            </w:pPr>
            <w:r>
              <w:rPr>
                <w:rFonts w:ascii="Helvetica Neue" w:hAnsi="Helvetica Neue"/>
              </w:rPr>
              <w:t xml:space="preserve">CDC; AHRQ MEPS</w:t>
            </w:r>
          </w:p>
        </w:tc>
      </w:tr>
    </w:tbl>
    <w:p>
      <w:pPr>
        <w:pStyle w:val="Heading2"/>
      </w:pPr>
      <w:bookmarkStart w:id="23" w:name="X765e7d77fb4251ece2226ee49618e0178bb27e4"/>
      <w:r>
        <w:t xml:space="preserve">2. Complication — three structural failures nobody has fixed</w:t>
      </w:r>
      <w:bookmarkEnd w:id="23"/>
    </w:p>
    <w:p>
      <w:pPr>
        <w:numPr>
          <w:ilvl w:val="0"/>
          <w:numId w:val="1001"/>
        </w:numPr>
        <w:pStyle w:val="Compact"/>
      </w:pPr>
      <w:r>
        <w:rPr>
          <w:b/>
        </w:rPr>
        <w:t xml:space="preserve">The data doesn’t exist where people actually eat.</w:t>
      </w:r>
      <w:r>
        <w:t xml:space="preserve"> </w:t>
      </w:r>
      <w:r>
        <w:t xml:space="preserve">FDA menu labeling (21 CFR 101.11) binds only 20+-location chains. The independent majority of U.S. restaurants publish nothing, and no commercial database covers them — the structural gap at the center of this plan.</w:t>
      </w:r>
    </w:p>
    <w:p>
      <w:pPr>
        <w:numPr>
          <w:ilvl w:val="0"/>
          <w:numId w:val="1001"/>
        </w:numPr>
        <w:pStyle w:val="Compact"/>
      </w:pPr>
      <w:r>
        <w:rPr>
          <w:b/>
        </w:rPr>
        <w:t xml:space="preserve">The timing is wrong everywhere.</w:t>
      </w:r>
      <w:r>
        <w:t xml:space="preserve"> </w:t>
      </w:r>
      <w:r>
        <w:t xml:space="preserve">Logging apps (MyFitnessPal: 220M registered, ~30M MAU) act after eating — accounting, not coaching — with 70–80% of calorie-app users quitting within two weeks. Labels act at the menu but move behavior ~24 kcal. Delivery apps act at the transaction with zero nutrition intelligence.</w:t>
      </w:r>
    </w:p>
    <w:p>
      <w:pPr>
        <w:numPr>
          <w:ilvl w:val="0"/>
          <w:numId w:val="1001"/>
        </w:numPr>
        <w:pStyle w:val="Compact"/>
      </w:pPr>
      <w:r>
        <w:rPr>
          <w:b/>
        </w:rPr>
        <w:t xml:space="preserve">The new</w:t>
      </w:r>
      <w:r>
        <w:rPr>
          <w:b/>
        </w:rPr>
        <w:t xml:space="preserve"> </w:t>
      </w:r>
      <w:r>
        <w:rPr>
          <w:b/>
        </w:rPr>
        <w:t xml:space="preserve">“</w:t>
      </w:r>
      <w:r>
        <w:rPr>
          <w:b/>
        </w:rPr>
        <w:t xml:space="preserve">AI menu</w:t>
      </w:r>
      <w:r>
        <w:rPr>
          <w:b/>
        </w:rPr>
        <w:t xml:space="preserve">”</w:t>
      </w:r>
      <w:r>
        <w:rPr>
          <w:b/>
        </w:rPr>
        <w:t xml:space="preserve"> </w:t>
      </w:r>
      <w:r>
        <w:rPr>
          <w:b/>
        </w:rPr>
        <w:t xml:space="preserve">entrants sell certainty they don’t have.</w:t>
      </w:r>
      <w:r>
        <w:t xml:space="preserve"> </w:t>
      </w:r>
      <w:r>
        <w:t xml:space="preserve">MenuFit (live capture, July 2026):</w:t>
      </w:r>
      <w:r>
        <w:t xml:space="preserve"> </w:t>
      </w:r>
      <w:r>
        <w:t xml:space="preserve">“</w:t>
      </w:r>
      <w:r>
        <w:t xml:space="preserve">#1 App For Eating Out Healthy,</w:t>
      </w:r>
      <w:r>
        <w:t xml:space="preserve">”</w:t>
      </w:r>
      <w:r>
        <w:t xml:space="preserve"> </w:t>
      </w:r>
      <w:r>
        <w:t xml:space="preserve">22.3M locations, meals that</w:t>
      </w:r>
      <w:r>
        <w:t xml:space="preserve"> </w:t>
      </w:r>
      <w:r>
        <w:t xml:space="preserve">“</w:t>
      </w:r>
      <w:r>
        <w:t xml:space="preserve">perfectly align with your macros</w:t>
      </w:r>
      <w:r>
        <w:t xml:space="preserve">”</w:t>
      </w:r>
      <w:r>
        <w:t xml:space="preserve"> </w:t>
      </w:r>
      <w:r>
        <w:t xml:space="preserve">— no sources, no error ranges, no correction mechanism, no restaurant participation, no web product, and a recommendation that dead-ends (no order, no log). Credibility is the category’s open flank.</w:t>
      </w:r>
    </w:p>
    <w:p>
      <w:pPr>
        <w:pStyle w:val="Heading2"/>
      </w:pPr>
      <w:bookmarkStart w:id="24" w:name="resolution-the-trust-layer-already-built"/>
      <w:r>
        <w:t xml:space="preserve">3. Resolution — the trust layer, already built</w:t>
      </w:r>
      <w:bookmarkEnd w:id="24"/>
    </w:p>
    <w:p>
      <w:pPr>
        <w:pStyle w:val="FirstParagraph"/>
      </w:pPr>
      <w:r>
        <w:t xml:space="preserve">Forkcast turns a health profile (Mifflin-St Jeor BMR → activity-scaled TDEE → goal-adjusted targets; ISSN macros; CDC BMI classes; allergies and conditions) into an explainable per-dish</w:t>
      </w:r>
      <w:r>
        <w:t xml:space="preserve"> </w:t>
      </w:r>
      <w:r>
        <w:rPr>
          <w:b/>
        </w:rPr>
        <w:t xml:space="preserve">Fit Score</w:t>
      </w:r>
      <w:r>
        <w:t xml:space="preserve">, ranks every nearby menu around what’s left of the user’s day, and then — unlike every competitor —</w:t>
      </w:r>
      <w:r>
        <w:t xml:space="preserve"> </w:t>
      </w:r>
      <w:r>
        <w:rPr>
          <w:b/>
        </w:rPr>
        <w:t xml:space="preserve">finishes the job</w:t>
      </w:r>
      <w:r>
        <w:t xml:space="preserve">:</w:t>
      </w:r>
    </w:p>
    <w:p>
      <w:pPr>
        <w:pStyle w:val="BodyText"/>
      </w:pPr>
      <w:r>
        <w:rPr>
          <w:b/>
        </w:rPr>
        <w:t xml:space="preserve">plan → discover → compare → order → restaurant accepts → confirm portions → log with evidence → measure → recalibrate</w:t>
      </w:r>
    </w:p>
    <w:p>
      <w:pPr>
        <w:pStyle w:val="Heading3"/>
      </w:pPr>
      <w:bookmarkStart w:id="25" w:name="Xe113aa267a5023941a1440a2a03f96f5d479bfe"/>
      <w:r>
        <w:t xml:space="preserve">As built (dated commits in this repository, July 2026)</w:t>
      </w:r>
      <w:bookmarkEnd w:id="25"/>
    </w:p>
    <w:tbl>
      <w:tblPr>
        <w:tblStyle w:val="Table"/>
        <w:tblW w:type="pct" w:w="5000.0"/>
        <w:tblBorders>
          <w:top w:val="single" w:sz="4" w:color="CCCCCC"/>
          <w:bottom w:val="single" w:sz="4" w:color="CCCCCC"/>
          <w:insideH w:val="single" w:sz="4" w:color="CCCCCC"/>
        </w:tblBorders>
        <w:tblLook w:firstRow="1"/>
      </w:tblPr>
      <w:tblGrid>
        <w:gridCol w:w="2640"/>
        <w:gridCol w:w="2640"/>
        <w:gridCol w:w="2640"/>
      </w:tblGrid>
      <w:tr>
        <w:trPr>
          <w:cnfStyle w:firstRow="1"/>
        </w:trPr>
        <w:tc>
          <w:tcPr>
            <w:tcBorders>
              <w:bottom w:val="single"/>
            </w:tcBorders>
            <w:vAlign w:val="bottom"/>
          </w:tcPr>
          <w:p>
            <w:pPr>
              <w:pStyle w:val="Compact"/>
              <w:jc w:val="left"/>
            </w:pPr>
            <w:r>
              <w:rPr>
                <w:rFonts w:ascii="Helvetica Neue" w:hAnsi="Helvetica Neue"/>
              </w:rPr>
              <w:t xml:space="preserve">Capability</w:t>
            </w:r>
          </w:p>
        </w:tc>
        <w:tc>
          <w:tcPr>
            <w:tcBorders>
              <w:bottom w:val="single"/>
            </w:tcBorders>
            <w:vAlign w:val="bottom"/>
          </w:tcPr>
          <w:p>
            <w:pPr>
              <w:pStyle w:val="Compact"/>
              <w:jc w:val="left"/>
            </w:pPr>
            <w:r>
              <w:rPr>
                <w:rFonts w:ascii="Helvetica Neue" w:hAnsi="Helvetica Neue"/>
              </w:rPr>
              <w:t xml:space="preserve">Status</w:t>
            </w:r>
          </w:p>
        </w:tc>
        <w:tc>
          <w:tcPr>
            <w:tcBorders>
              <w:bottom w:val="single"/>
            </w:tcBorders>
            <w:vAlign w:val="bottom"/>
          </w:tcPr>
          <w:p>
            <w:pPr>
              <w:pStyle w:val="Compact"/>
              <w:jc w:val="left"/>
            </w:pPr>
            <w:r>
              <w:rPr>
                <w:rFonts w:ascii="Helvetica Neue" w:hAnsi="Helvetica Neue"/>
              </w:rPr>
              <w:t xml:space="preserve">Why it matters</w:t>
            </w:r>
          </w:p>
        </w:tc>
      </w:tr>
      <w:tr>
        <w:tc>
          <w:p>
            <w:pPr>
              <w:pStyle w:val="Compact"/>
              <w:jc w:val="left"/>
            </w:pPr>
            <w:r>
              <w:rPr>
                <w:rFonts w:ascii="Helvetica Neue" w:hAnsi="Helvetica Neue"/>
              </w:rPr>
              <w:t xml:space="preserve">Fit Score engine + condition/allergen personalization</w:t>
            </w:r>
          </w:p>
        </w:tc>
        <w:tc>
          <w:p>
            <w:pPr>
              <w:pStyle w:val="Compact"/>
              <w:jc w:val="left"/>
            </w:pPr>
            <w:r>
              <w:rPr>
                <w:rFonts w:ascii="Helvetica Neue" w:hAnsi="Helvetica Neue"/>
                <w:b/>
              </w:rPr>
              <w:t xml:space="preserve">Live</w:t>
            </w:r>
          </w:p>
        </w:tc>
        <w:tc>
          <w:p>
            <w:pPr>
              <w:pStyle w:val="Compact"/>
              <w:jc w:val="left"/>
            </w:pPr>
            <w:r>
              <w:rPr>
                <w:rFonts w:ascii="Helvetica Neue" w:hAnsi="Helvetica Neue"/>
              </w:rPr>
              <w:t xml:space="preserve">Explainable, safety-aware ranking; allergen matches excluded from recommendations, condition advisories on every dish</w:t>
            </w:r>
          </w:p>
        </w:tc>
      </w:tr>
      <w:tr>
        <w:tc>
          <w:p>
            <w:pPr>
              <w:pStyle w:val="Compact"/>
              <w:jc w:val="left"/>
            </w:pPr>
            <w:r>
              <w:rPr>
                <w:rFonts w:ascii="Helvetica Neue" w:hAnsi="Helvetica Neue"/>
              </w:rPr>
              <w:t xml:space="preserve">Full ordering loop: basket → checkout → tracking →</w:t>
            </w:r>
            <w:r>
              <w:rPr>
                <w:rFonts w:ascii="Helvetica Neue" w:hAnsi="Helvetica Neue"/>
              </w:rPr>
              <w:t xml:space="preserve"> </w:t>
            </w:r>
            <w:r>
              <w:rPr>
                <w:rFonts w:ascii="Helvetica Neue" w:hAnsi="Helvetica Neue"/>
              </w:rPr>
              <w:t xml:space="preserve">“</w:t>
            </w:r>
            <w:r>
              <w:rPr>
                <w:rFonts w:ascii="Helvetica Neue" w:hAnsi="Helvetica Neue"/>
              </w:rPr>
              <w:t xml:space="preserve">Log this meal?</w:t>
            </w:r>
            <w:r>
              <w:rPr>
                <w:rFonts w:ascii="Helvetica Neue" w:hAnsi="Helvetica Neue"/>
              </w:rPr>
              <w:t xml:space="preserve">”</w:t>
            </w:r>
          </w:p>
        </w:tc>
        <w:tc>
          <w:p>
            <w:pPr>
              <w:pStyle w:val="Compact"/>
              <w:jc w:val="left"/>
            </w:pPr>
            <w:r>
              <w:rPr>
                <w:rFonts w:ascii="Helvetica Neue" w:hAnsi="Helvetica Neue"/>
                <w:b/>
              </w:rPr>
              <w:t xml:space="preserve">Live</w:t>
            </w:r>
            <w:r>
              <w:rPr>
                <w:rFonts w:ascii="Helvetica Neue" w:hAnsi="Helvetica Neue"/>
              </w:rPr>
              <w:t xml:space="preserve"> </w:t>
            </w:r>
            <w:r>
              <w:rPr>
                <w:rFonts w:ascii="Helvetica Neue" w:hAnsi="Helvetica Neue"/>
              </w:rPr>
              <w:t xml:space="preserve">(payments/delivery integrations honestly labeled prototype)</w:t>
            </w:r>
          </w:p>
        </w:tc>
        <w:tc>
          <w:p>
            <w:pPr>
              <w:pStyle w:val="Compact"/>
              <w:jc w:val="left"/>
            </w:pPr>
            <w:r>
              <w:rPr>
                <w:rFonts w:ascii="Helvetica Neue" w:hAnsi="Helvetica Neue"/>
              </w:rPr>
              <w:t xml:space="preserve">The decision connects to the record; every logged restaurant meal carries an order reference</w:t>
            </w:r>
          </w:p>
        </w:tc>
      </w:tr>
      <w:tr>
        <w:tc>
          <w:p>
            <w:pPr>
              <w:pStyle w:val="Compact"/>
              <w:jc w:val="left"/>
            </w:pPr>
            <w:r>
              <w:rPr>
                <w:rFonts w:ascii="Helvetica Neue" w:hAnsi="Helvetica Neue"/>
              </w:rPr>
              <w:t xml:space="preserve">Restaurant partner terminal</w:t>
            </w:r>
          </w:p>
        </w:tc>
        <w:tc>
          <w:p>
            <w:pPr>
              <w:pStyle w:val="Compact"/>
              <w:jc w:val="left"/>
            </w:pPr>
            <w:r>
              <w:rPr>
                <w:rFonts w:ascii="Helvetica Neue" w:hAnsi="Helvetica Neue"/>
                <w:b/>
              </w:rPr>
              <w:t xml:space="preserve">Live</w:t>
            </w:r>
            <w:r>
              <w:rPr>
                <w:rFonts w:ascii="Helvetica Neue" w:hAnsi="Helvetica Neue"/>
              </w:rPr>
              <w:t xml:space="preserve"> </w:t>
            </w:r>
            <w:r>
              <w:rPr>
                <w:rFonts w:ascii="Helvetica Neue" w:hAnsi="Helvetica Neue"/>
              </w:rPr>
              <w:t xml:space="preserve">(demo-labeled)</w:t>
            </w:r>
          </w:p>
        </w:tc>
        <w:tc>
          <w:p>
            <w:pPr>
              <w:pStyle w:val="Compact"/>
              <w:jc w:val="left"/>
            </w:pPr>
            <w:r>
              <w:rPr>
                <w:rFonts w:ascii="Helvetica Neue" w:hAnsi="Helvetica Neue"/>
              </w:rPr>
              <w:t xml:space="preserve">Order queue with customer allergy flags, prep quotes, and</w:t>
            </w:r>
            <w:r>
              <w:rPr>
                <w:rFonts w:ascii="Helvetica Neue" w:hAnsi="Helvetica Neue"/>
              </w:rPr>
              <w:t xml:space="preserve"> </w:t>
            </w:r>
            <w:r>
              <w:rPr>
                <w:rFonts w:ascii="Helvetica Neue" w:hAnsi="Helvetica Neue"/>
                <w:b/>
              </w:rPr>
              <w:t xml:space="preserve">versioned, timestamped menu corrections</w:t>
            </w:r>
            <w:r>
              <w:rPr>
                <w:rFonts w:ascii="Helvetica Neue" w:hAnsi="Helvetica Neue"/>
              </w:rPr>
              <w:t xml:space="preserve"> </w:t>
            </w:r>
            <w:r>
              <w:rPr>
                <w:rFonts w:ascii="Helvetica Neue" w:hAnsi="Helvetica Neue"/>
              </w:rPr>
              <w:t xml:space="preserve">that surface publicly on dish pages</w:t>
            </w:r>
          </w:p>
        </w:tc>
      </w:tr>
      <w:tr>
        <w:tc>
          <w:p>
            <w:pPr>
              <w:pStyle w:val="Compact"/>
              <w:jc w:val="left"/>
            </w:pPr>
            <w:r>
              <w:rPr>
                <w:rFonts w:ascii="Helvetica Neue" w:hAnsi="Helvetica Neue"/>
              </w:rPr>
              <w:t xml:space="preserve">Three-tier data provenance</w:t>
            </w:r>
          </w:p>
        </w:tc>
        <w:tc>
          <w:p>
            <w:pPr>
              <w:pStyle w:val="Compact"/>
              <w:jc w:val="left"/>
            </w:pPr>
            <w:r>
              <w:rPr>
                <w:rFonts w:ascii="Helvetica Neue" w:hAnsi="Helvetica Neue"/>
                <w:b/>
              </w:rPr>
              <w:t xml:space="preserve">Live</w:t>
            </w:r>
          </w:p>
        </w:tc>
        <w:tc>
          <w:p>
            <w:pPr>
              <w:pStyle w:val="Compact"/>
              <w:jc w:val="left"/>
            </w:pPr>
            <w:r>
              <w:rPr>
                <w:rFonts w:ascii="Helvetica Neue" w:hAnsi="Helvetica Neue"/>
                <w:i/>
              </w:rPr>
              <w:t xml:space="preserve">Partner-verified</w:t>
            </w:r>
            <w:r>
              <w:rPr>
                <w:rFonts w:ascii="Helvetica Neue" w:hAnsi="Helvetica Neue"/>
              </w:rPr>
              <w:t xml:space="preserve"> </w:t>
            </w:r>
            <w:r>
              <w:rPr>
                <w:rFonts w:ascii="Helvetica Neue" w:hAnsi="Helvetica Neue"/>
              </w:rPr>
              <w:t xml:space="preserve">/</w:t>
            </w:r>
            <w:r>
              <w:rPr>
                <w:rFonts w:ascii="Helvetica Neue" w:hAnsi="Helvetica Neue"/>
              </w:rPr>
              <w:t xml:space="preserve"> </w:t>
            </w:r>
            <w:r>
              <w:rPr>
                <w:rFonts w:ascii="Helvetica Neue" w:hAnsi="Helvetica Neue"/>
                <w:i/>
              </w:rPr>
              <w:t xml:space="preserve">Restaurant-published</w:t>
            </w:r>
            <w:r>
              <w:rPr>
                <w:rFonts w:ascii="Helvetica Neue" w:hAnsi="Helvetica Neue"/>
              </w:rPr>
              <w:t xml:space="preserve"> </w:t>
            </w:r>
            <w:r>
              <w:rPr>
                <w:rFonts w:ascii="Helvetica Neue" w:hAnsi="Helvetica Neue"/>
              </w:rPr>
              <w:t xml:space="preserve">(Sweetgreen menu captured live July 2026; The Halal Guys’ published guide) /</w:t>
            </w:r>
            <w:r>
              <w:rPr>
                <w:rFonts w:ascii="Helvetica Neue" w:hAnsi="Helvetica Neue"/>
              </w:rPr>
              <w:t xml:space="preserve"> </w:t>
            </w:r>
            <w:r>
              <w:rPr>
                <w:rFonts w:ascii="Helvetica Neue" w:hAnsi="Helvetica Neue"/>
                <w:i/>
              </w:rPr>
              <w:t xml:space="preserve">Estimated ±15%</w:t>
            </w:r>
            <w:r>
              <w:rPr>
                <w:rFonts w:ascii="Helvetica Neue" w:hAnsi="Helvetica Neue"/>
              </w:rPr>
              <w:t xml:space="preserve"> </w:t>
            </w:r>
            <w:r>
              <w:rPr>
                <w:rFonts w:ascii="Helvetica Neue" w:hAnsi="Helvetica Neue"/>
              </w:rPr>
              <w:t xml:space="preserve">(real Boston independents, labeled)</w:t>
            </w:r>
          </w:p>
        </w:tc>
      </w:tr>
      <w:tr>
        <w:tc>
          <w:p>
            <w:pPr>
              <w:pStyle w:val="Compact"/>
              <w:jc w:val="left"/>
            </w:pPr>
            <w:r>
              <w:rPr>
                <w:rFonts w:ascii="Helvetica Neue" w:hAnsi="Helvetica Neue"/>
              </w:rPr>
              <w:t xml:space="preserve">Adaptive metabolic calibration</w:t>
            </w:r>
          </w:p>
        </w:tc>
        <w:tc>
          <w:p>
            <w:pPr>
              <w:pStyle w:val="Compact"/>
              <w:jc w:val="left"/>
            </w:pPr>
            <w:r>
              <w:rPr>
                <w:rFonts w:ascii="Helvetica Neue" w:hAnsi="Helvetica Neue"/>
                <w:b/>
              </w:rPr>
              <w:t xml:space="preserve">Live</w:t>
            </w:r>
          </w:p>
        </w:tc>
        <w:tc>
          <w:p>
            <w:pPr>
              <w:pStyle w:val="Compact"/>
              <w:jc w:val="left"/>
            </w:pPr>
            <w:r>
              <w:rPr>
                <w:rFonts w:ascii="Helvetica Neue" w:hAnsi="Helvetica Neue"/>
              </w:rPr>
              <w:t xml:space="preserve">Target TDEE back-calculated from the user’s own logged intake + weight change (energy balance), confidence-blended — the state-of-the-art approach, attached to restaurant decisions no adaptive app has</w:t>
            </w:r>
          </w:p>
        </w:tc>
      </w:tr>
      <w:tr>
        <w:tc>
          <w:p>
            <w:pPr>
              <w:pStyle w:val="Compact"/>
              <w:jc w:val="left"/>
            </w:pPr>
            <w:r>
              <w:rPr>
                <w:rFonts w:ascii="Helvetica Neue" w:hAnsi="Helvetica Neue"/>
              </w:rPr>
              <w:t xml:space="preserve">Evidence system</w:t>
            </w:r>
          </w:p>
        </w:tc>
        <w:tc>
          <w:p>
            <w:pPr>
              <w:pStyle w:val="Compact"/>
              <w:jc w:val="left"/>
            </w:pPr>
            <w:r>
              <w:rPr>
                <w:rFonts w:ascii="Helvetica Neue" w:hAnsi="Helvetica Neue"/>
                <w:b/>
              </w:rPr>
              <w:t xml:space="preserve">Live</w:t>
            </w:r>
          </w:p>
        </w:tc>
        <w:tc>
          <w:p>
            <w:pPr>
              <w:pStyle w:val="Compact"/>
              <w:jc w:val="left"/>
            </w:pPr>
            <w:r>
              <w:rPr>
                <w:rFonts w:ascii="Helvetica Neue" w:hAnsi="Helvetica Neue"/>
              </w:rPr>
              <w:t xml:space="preserve">Exportable meal log with source/portion/confidence per entry;</w:t>
            </w:r>
            <w:r>
              <w:rPr>
                <w:rFonts w:ascii="Helvetica Neue" w:hAnsi="Helvetica Neue"/>
              </w:rPr>
              <w:t xml:space="preserve"> </w:t>
            </w:r>
            <w:r>
              <w:rPr>
                <w:rFonts w:ascii="Helvetica Neue" w:hAnsi="Helvetica Neue"/>
                <w:rStyle w:val="VerbatimChar"/>
              </w:rPr>
              <w:t xml:space="preserve">/impact</w:t>
            </w:r>
            <w:r>
              <w:rPr>
                <w:rFonts w:ascii="Helvetica Neue" w:hAnsi="Helvetica Neue"/>
              </w:rPr>
              <w:t xml:space="preserve"> </w:t>
            </w:r>
            <w:r>
              <w:rPr>
                <w:rFonts w:ascii="Helvetica Neue" w:hAnsi="Helvetica Neue"/>
              </w:rPr>
              <w:t xml:space="preserve">page with six pre-registered pilot metrics and a public source ledger</w:t>
            </w:r>
          </w:p>
        </w:tc>
      </w:tr>
      <w:tr>
        <w:tc>
          <w:p>
            <w:pPr>
              <w:pStyle w:val="Compact"/>
              <w:jc w:val="left"/>
            </w:pPr>
            <w:r>
              <w:rPr>
                <w:rFonts w:ascii="Helvetica Neue" w:hAnsi="Helvetica Neue"/>
              </w:rPr>
              <w:t xml:space="preserve">Role-based accounts (diner / restaurant), web-first with shareable dish pages</w:t>
            </w:r>
          </w:p>
        </w:tc>
        <w:tc>
          <w:p>
            <w:pPr>
              <w:pStyle w:val="Compact"/>
              <w:jc w:val="left"/>
            </w:pPr>
            <w:r>
              <w:rPr>
                <w:rFonts w:ascii="Helvetica Neue" w:hAnsi="Helvetica Neue"/>
                <w:b/>
              </w:rPr>
              <w:t xml:space="preserve">Live</w:t>
            </w:r>
          </w:p>
        </w:tc>
        <w:tc>
          <w:p>
            <w:pPr>
              <w:pStyle w:val="Compact"/>
              <w:jc w:val="left"/>
            </w:pPr>
            <w:r>
              <w:rPr>
                <w:rFonts w:ascii="Helvetica Neue" w:hAnsi="Helvetica Neue"/>
              </w:rPr>
              <w:t xml:space="preserve">Two-sided from day one; the app-only competitors have no web surface at all</w:t>
            </w:r>
          </w:p>
        </w:tc>
      </w:tr>
      <w:tr>
        <w:tc>
          <w:p>
            <w:pPr>
              <w:pStyle w:val="Compact"/>
              <w:jc w:val="left"/>
            </w:pPr>
            <w:r>
              <w:rPr>
                <w:rFonts w:ascii="Helvetica Neue" w:hAnsi="Helvetica Neue"/>
              </w:rPr>
              <w:t xml:space="preserve">Wearable sync (Google Health / Fitbit)</w:t>
            </w:r>
          </w:p>
        </w:tc>
        <w:tc>
          <w:p>
            <w:pPr>
              <w:pStyle w:val="Compact"/>
              <w:jc w:val="left"/>
            </w:pPr>
            <w:r>
              <w:rPr>
                <w:rFonts w:ascii="Helvetica Neue" w:hAnsi="Helvetica Neue"/>
                <w:b/>
              </w:rPr>
              <w:t xml:space="preserve">Live</w:t>
            </w:r>
          </w:p>
        </w:tc>
        <w:tc>
          <w:p>
            <w:pPr>
              <w:pStyle w:val="Compact"/>
              <w:jc w:val="left"/>
            </w:pPr>
            <w:r>
              <w:rPr>
                <w:rFonts w:ascii="Helvetica Neue" w:hAnsi="Helvetica Neue"/>
              </w:rPr>
              <w:t xml:space="preserve">Every order-confirmed meal auto-syncs calories and macros into the user’s existing Fitbit/Google Health record; steps and active-calories-burned sync back into the Forkcast dashboard</w:t>
            </w:r>
          </w:p>
        </w:tc>
      </w:tr>
    </w:tbl>
    <w:p>
      <w:pPr>
        <w:pStyle w:val="BodyText"/>
      </w:pPr>
      <w:r>
        <w:rPr>
          <w:b/>
        </w:rPr>
        <w:t xml:space="preserve">Wearable integration — the logging loop extended into the ecosystem users already check.</w:t>
      </w:r>
      <w:r>
        <w:t xml:space="preserve"> </w:t>
      </w:r>
      <w:r>
        <w:t xml:space="preserve">As of July 2026, Forkcast operates a production Google Health API integration (Google’s cloud successor to the Fitbit Web API, which Google is retiring in September 2026): every order-confirmed meal syncs its calories and macros directly into the user’s existing Fitbit / Google Health record, no separate entry required, while the user’s steps and active-calories-burned sync back into the Forkcast dashboard. This closes a gap the incumbents haven’t: MyFitnessPal syncs wearable</w:t>
      </w:r>
      <w:r>
        <w:t xml:space="preserve"> </w:t>
      </w:r>
      <w:r>
        <w:rPr>
          <w:i/>
        </w:rPr>
        <w:t xml:space="preserve">activity</w:t>
      </w:r>
      <w:r>
        <w:t xml:space="preserve"> </w:t>
      </w:r>
      <w:r>
        <w:t xml:space="preserve">into its own app but still requires the user to manually diary each meal, while Forkcast’s restaurant meals arrive already logged from the order itself and now surface automatically in the fitness app the user already opens daily — a zero-effort touchpoint no logging competitor’s restaurant data can reach.</w:t>
      </w:r>
    </w:p>
    <w:p>
      <w:pPr>
        <w:pStyle w:val="BodyText"/>
      </w:pPr>
      <w:r>
        <w:rPr>
          <w:b/>
        </w:rPr>
        <w:t xml:space="preserve">What is deliberately</w:t>
      </w:r>
      <w:r>
        <w:rPr>
          <w:b/>
        </w:rPr>
        <w:t xml:space="preserve"> </w:t>
      </w:r>
      <w:r>
        <w:rPr>
          <w:i/>
          <w:b/>
        </w:rPr>
        <w:t xml:space="preserve">not</w:t>
      </w:r>
      <w:r>
        <w:rPr>
          <w:b/>
        </w:rPr>
        <w:t xml:space="preserve"> </w:t>
      </w:r>
      <w:r>
        <w:rPr>
          <w:b/>
        </w:rPr>
        <w:t xml:space="preserve">built:</w:t>
      </w:r>
      <w:r>
        <w:t xml:space="preserve"> </w:t>
      </w:r>
      <w:r>
        <w:t xml:space="preserve">payment processing, live delivery dispatch, and partner handoff links — all shown as clearly-labeled integration states, never simulated as real. Kitchen status is simulated and labeled until a terminal claims the order.</w:t>
      </w:r>
    </w:p>
    <w:p>
      <w:pPr>
        <w:pStyle w:val="Heading2"/>
      </w:pPr>
      <w:bookmarkStart w:id="26" w:name="market"/>
      <w:r>
        <w:t xml:space="preserve">4. Market</w:t>
      </w:r>
      <w:bookmarkEnd w:id="26"/>
    </w:p>
    <w:p>
      <w:pPr>
        <w:pStyle w:val="FirstParagraph"/>
      </w:pPr>
      <w:r>
        <w:rPr>
          <w:i/>
        </w:rPr>
        <w:t xml:space="preserve">U.S.-only; reasoning explicit so each number can be challenged (full derivations in</w:t>
      </w:r>
      <w:r>
        <w:rPr>
          <w:i/>
        </w:rPr>
        <w:t xml:space="preserve"> </w:t>
      </w:r>
      <w:r>
        <w:rPr>
          <w:rStyle w:val="VerbatimChar"/>
          <w:i/>
        </w:rPr>
        <w:t xml:space="preserve">RESEARCH.md</w:t>
      </w:r>
      <w:r>
        <w:rPr>
          <w:i/>
        </w:rPr>
        <w:t xml:space="preserve">).</w:t>
      </w:r>
    </w:p>
    <w:p>
      <w:pPr>
        <w:numPr>
          <w:ilvl w:val="0"/>
          <w:numId w:val="1002"/>
        </w:numPr>
        <w:pStyle w:val="Compact"/>
      </w:pPr>
      <w:r>
        <w:rPr>
          <w:b/>
        </w:rPr>
        <w:t xml:space="preserve">TAM ≈ $11.1B/yr.</w:t>
      </w:r>
      <w:r>
        <w:t xml:space="preserve"> </w:t>
      </w:r>
      <w:r>
        <w:t xml:space="preserve">~186M U.S. adults with elevated BMI (≈72% of 258M adults; CDC 2024) × ~$60 blended annual consumer ARPU (anchored between MyFitnessPal Premium $79.99/yr and Cal AI $29.99/yr). Triangulates with the independently sized calorie-tracking app market ($5.5–14B, 2025; 12–20% CAGR).</w:t>
      </w:r>
    </w:p>
    <w:p>
      <w:pPr>
        <w:numPr>
          <w:ilvl w:val="0"/>
          <w:numId w:val="1002"/>
        </w:numPr>
        <w:pStyle w:val="Compact"/>
      </w:pPr>
      <w:r>
        <w:rPr>
          <w:b/>
        </w:rPr>
        <w:t xml:space="preserve">SAM ≈ $3.3B/yr.</w:t>
      </w:r>
      <w:r>
        <w:t xml:space="preserve"> </w:t>
      </w:r>
      <w:r>
        <w:t xml:space="preserve">~55.7M goal-oriented active dieters who eat out often (~30% of the elevated-BMI pool) × $60.</w:t>
      </w:r>
    </w:p>
    <w:p>
      <w:pPr>
        <w:numPr>
          <w:ilvl w:val="0"/>
          <w:numId w:val="1002"/>
        </w:numPr>
        <w:pStyle w:val="Compact"/>
      </w:pPr>
      <w:r>
        <w:rPr>
          <w:b/>
        </w:rPr>
        <w:t xml:space="preserve">SOM ≈ $40–90M ARR (5-yr).</w:t>
      </w:r>
      <w:r>
        <w:t xml:space="preserve"> </w:t>
      </w:r>
      <w:r>
        <w:t xml:space="preserve">0.5–2.0% of SAM (0.28–1.1M payers; 1% ≈ $33M consumer ARR) plus restaurant retail-media and B2B2C legs.</w:t>
      </w:r>
      <w:r>
        <w:t xml:space="preserve"> </w:t>
      </w:r>
      <w:r>
        <w:rPr>
          <w:b/>
        </w:rPr>
        <w:t xml:space="preserve">Retention-bound, not demand-bound.</w:t>
      </w:r>
    </w:p>
    <w:p>
      <w:pPr>
        <w:numPr>
          <w:ilvl w:val="0"/>
          <w:numId w:val="1002"/>
        </w:numPr>
        <w:pStyle w:val="Compact"/>
      </w:pPr>
      <w:r>
        <w:rPr>
          <w:b/>
        </w:rPr>
        <w:t xml:space="preserve">Velocity proof:</w:t>
      </w:r>
      <w:r>
        <w:t xml:space="preserve"> </w:t>
      </w:r>
      <w:r>
        <w:t xml:space="preserve">Cal AI reached ~15M downloads and $30M+ ARR in under two years before MyFitnessPal acquired it (Dec 2025).</w:t>
      </w:r>
    </w:p>
    <w:p>
      <w:pPr>
        <w:pStyle w:val="Heading2"/>
      </w:pPr>
      <w:bookmarkStart w:id="27" w:name="Xba514d99c1870338b1c37c28145c091a28b73ff"/>
      <w:r>
        <w:t xml:space="preserve">5. Competition — and the flank they all leave open</w:t>
      </w:r>
      <w:bookmarkEnd w:id="27"/>
    </w:p>
    <w:tbl>
      <w:tblPr>
        <w:tblStyle w:val="Table"/>
        <w:tblW w:type="pct" w:w="5000.0"/>
        <w:tblBorders>
          <w:top w:val="single" w:sz="4" w:color="CCCCCC"/>
          <w:bottom w:val="single" w:sz="4" w:color="CCCCCC"/>
          <w:insideH w:val="single" w:sz="4" w:color="CCCCCC"/>
        </w:tblBorders>
        <w:tblLook w:firstRow="1"/>
      </w:tblPr>
      <w:tblGrid>
        <w:gridCol w:w="2640"/>
        <w:gridCol w:w="2640"/>
        <w:gridCol w:w="2640"/>
      </w:tblGrid>
      <w:tr>
        <w:trPr>
          <w:cnfStyle w:firstRow="1"/>
        </w:trPr>
        <w:tc>
          <w:tcPr>
            <w:tcBorders>
              <w:bottom w:val="single"/>
            </w:tcBorders>
            <w:vAlign w:val="bottom"/>
          </w:tcPr>
          <w:p>
            <w:pPr>
              <w:pStyle w:val="Compact"/>
              <w:jc w:val="left"/>
            </w:pPr>
            <w:r>
              <w:rPr>
                <w:rFonts w:ascii="Helvetica Neue" w:hAnsi="Helvetica Neue"/>
              </w:rPr>
              <w:t xml:space="preserve">Player</w:t>
            </w:r>
          </w:p>
        </w:tc>
        <w:tc>
          <w:tcPr>
            <w:tcBorders>
              <w:bottom w:val="single"/>
            </w:tcBorders>
            <w:vAlign w:val="bottom"/>
          </w:tcPr>
          <w:p>
            <w:pPr>
              <w:pStyle w:val="Compact"/>
              <w:jc w:val="left"/>
            </w:pPr>
            <w:r>
              <w:rPr>
                <w:rFonts w:ascii="Helvetica Neue" w:hAnsi="Helvetica Neue"/>
              </w:rPr>
              <w:t xml:space="preserve">Owns</w:t>
            </w:r>
          </w:p>
        </w:tc>
        <w:tc>
          <w:tcPr>
            <w:tcBorders>
              <w:bottom w:val="single"/>
            </w:tcBorders>
            <w:vAlign w:val="bottom"/>
          </w:tcPr>
          <w:p>
            <w:pPr>
              <w:pStyle w:val="Compact"/>
              <w:jc w:val="left"/>
            </w:pPr>
            <w:r>
              <w:rPr>
                <w:rFonts w:ascii="Helvetica Neue" w:hAnsi="Helvetica Neue"/>
              </w:rPr>
              <w:t xml:space="preserve">Structurally absent</w:t>
            </w:r>
          </w:p>
        </w:tc>
      </w:tr>
      <w:tr>
        <w:tc>
          <w:p>
            <w:pPr>
              <w:pStyle w:val="Compact"/>
              <w:jc w:val="left"/>
            </w:pPr>
            <w:r>
              <w:rPr>
                <w:rFonts w:ascii="Helvetica Neue" w:hAnsi="Helvetica Neue"/>
                <w:b/>
              </w:rPr>
              <w:t xml:space="preserve">MenuFit / PlateMate / Nuuro</w:t>
            </w:r>
          </w:p>
        </w:tc>
        <w:tc>
          <w:p>
            <w:pPr>
              <w:pStyle w:val="Compact"/>
              <w:jc w:val="left"/>
            </w:pPr>
            <w:r>
              <w:rPr>
                <w:rFonts w:ascii="Helvetica Neue" w:hAnsi="Helvetica Neue"/>
              </w:rPr>
              <w:t xml:space="preserve">“</w:t>
            </w:r>
            <w:r>
              <w:rPr>
                <w:rFonts w:ascii="Helvetica Neue" w:hAnsi="Helvetica Neue"/>
              </w:rPr>
              <w:t xml:space="preserve">Know what to order</w:t>
            </w:r>
            <w:r>
              <w:rPr>
                <w:rFonts w:ascii="Helvetica Neue" w:hAnsi="Helvetica Neue"/>
              </w:rPr>
              <w:t xml:space="preserve">”</w:t>
            </w:r>
            <w:r>
              <w:rPr>
                <w:rFonts w:ascii="Helvetica Neue" w:hAnsi="Helvetica Neue"/>
              </w:rPr>
              <w:t xml:space="preserve"> </w:t>
            </w:r>
            <w:r>
              <w:rPr>
                <w:rFonts w:ascii="Helvetica Neue" w:hAnsi="Helvetica Neue"/>
              </w:rPr>
              <w:t xml:space="preserve">positioning; AI menu scoring; influencer GTM</w:t>
            </w:r>
          </w:p>
        </w:tc>
        <w:tc>
          <w:p>
            <w:pPr>
              <w:pStyle w:val="Compact"/>
              <w:jc w:val="left"/>
            </w:pPr>
            <w:r>
              <w:rPr>
                <w:rFonts w:ascii="Helvetica Neue" w:hAnsi="Helvetica Neue"/>
              </w:rPr>
              <w:t xml:space="preserve">Sources, error ranges, corrections, restaurant participation, ordering/logging loop, web presence; guilt-based fitness framing excludes the health-condition market</w:t>
            </w:r>
          </w:p>
        </w:tc>
      </w:tr>
      <w:tr>
        <w:tc>
          <w:p>
            <w:pPr>
              <w:pStyle w:val="Compact"/>
              <w:jc w:val="left"/>
            </w:pPr>
            <w:r>
              <w:rPr>
                <w:rFonts w:ascii="Helvetica Neue" w:hAnsi="Helvetica Neue"/>
                <w:b/>
              </w:rPr>
              <w:t xml:space="preserve">MyFitnessPal</w:t>
            </w:r>
          </w:p>
        </w:tc>
        <w:tc>
          <w:p>
            <w:pPr>
              <w:pStyle w:val="Compact"/>
              <w:jc w:val="left"/>
            </w:pPr>
            <w:r>
              <w:rPr>
                <w:rFonts w:ascii="Helvetica Neue" w:hAnsi="Helvetica Neue"/>
              </w:rPr>
              <w:t xml:space="preserve">Retrospective logging at scale; wearable activity sync</w:t>
            </w:r>
          </w:p>
        </w:tc>
        <w:tc>
          <w:p>
            <w:pPr>
              <w:pStyle w:val="Compact"/>
              <w:jc w:val="left"/>
            </w:pPr>
            <w:r>
              <w:rPr>
                <w:rFonts w:ascii="Helvetica Neue" w:hAnsi="Helvetica Neue"/>
              </w:rPr>
              <w:t xml:space="preserve">Acts after eating; restaurant data is its weakest (same dish 400–1,200 kcal); wearable sync covers activity, not meals — manual diary still required; 70–80% two-week churn; first revenue decline (−5.7%, 2025)</w:t>
            </w:r>
          </w:p>
        </w:tc>
      </w:tr>
      <w:tr>
        <w:tc>
          <w:p>
            <w:pPr>
              <w:pStyle w:val="Compact"/>
              <w:jc w:val="left"/>
            </w:pPr>
            <w:r>
              <w:rPr>
                <w:rFonts w:ascii="Helvetica Neue" w:hAnsi="Helvetica Neue"/>
                <w:b/>
              </w:rPr>
              <w:t xml:space="preserve">DoorDash / Uber Eats</w:t>
            </w:r>
          </w:p>
        </w:tc>
        <w:tc>
          <w:p>
            <w:pPr>
              <w:pStyle w:val="Compact"/>
              <w:jc w:val="left"/>
            </w:pPr>
            <w:r>
              <w:rPr>
                <w:rFonts w:ascii="Helvetica Neue" w:hAnsi="Helvetica Neue"/>
              </w:rPr>
              <w:t xml:space="preserve">Ordering logistics, merchant graph, $1B+ ads</w:t>
            </w:r>
          </w:p>
        </w:tc>
        <w:tc>
          <w:p>
            <w:pPr>
              <w:pStyle w:val="Compact"/>
              <w:jc w:val="left"/>
            </w:pPr>
            <w:r>
              <w:rPr>
                <w:rFonts w:ascii="Helvetica Neue" w:hAnsi="Helvetica Neue"/>
              </w:rPr>
              <w:t xml:space="preserve">Zero personal-nutrition intelligence; sponsored placement</w:t>
            </w:r>
            <w:r>
              <w:rPr>
                <w:rFonts w:ascii="Helvetica Neue" w:hAnsi="Helvetica Neue"/>
              </w:rPr>
              <w:t xml:space="preserve"> </w:t>
            </w:r>
            <w:r>
              <w:rPr>
                <w:rFonts w:ascii="Helvetica Neue" w:hAnsi="Helvetica Neue"/>
                <w:i/>
              </w:rPr>
              <w:t xml:space="preserve">is</w:t>
            </w:r>
            <w:r>
              <w:rPr>
                <w:rFonts w:ascii="Helvetica Neue" w:hAnsi="Helvetica Neue"/>
              </w:rPr>
              <w:t xml:space="preserve"> </w:t>
            </w:r>
            <w:r>
              <w:rPr>
                <w:rFonts w:ascii="Helvetica Neue" w:hAnsi="Helvetica Neue"/>
              </w:rPr>
              <w:t xml:space="preserve">the product</w:t>
            </w:r>
          </w:p>
        </w:tc>
      </w:tr>
      <w:tr>
        <w:tc>
          <w:p>
            <w:pPr>
              <w:pStyle w:val="Compact"/>
              <w:jc w:val="left"/>
            </w:pPr>
            <w:r>
              <w:rPr>
                <w:rFonts w:ascii="Helvetica Neue" w:hAnsi="Helvetica Neue"/>
                <w:b/>
              </w:rPr>
              <w:t xml:space="preserve">Sweetgreen / CAVA</w:t>
            </w:r>
          </w:p>
        </w:tc>
        <w:tc>
          <w:p>
            <w:pPr>
              <w:pStyle w:val="Compact"/>
              <w:jc w:val="left"/>
            </w:pPr>
            <w:r>
              <w:rPr>
                <w:rFonts w:ascii="Helvetica Neue" w:hAnsi="Helvetica Neue"/>
              </w:rPr>
              <w:t xml:space="preserve">Excellent single-brand transparency</w:t>
            </w:r>
          </w:p>
        </w:tc>
        <w:tc>
          <w:p>
            <w:pPr>
              <w:pStyle w:val="Compact"/>
              <w:jc w:val="left"/>
            </w:pPr>
            <w:r>
              <w:rPr>
                <w:rFonts w:ascii="Helvetica Neue" w:hAnsi="Helvetica Neue"/>
              </w:rPr>
              <w:t xml:space="preserve">Can’t be brand-agnostic</w:t>
            </w:r>
          </w:p>
        </w:tc>
      </w:tr>
      <w:tr>
        <w:tc>
          <w:p>
            <w:pPr>
              <w:pStyle w:val="Compact"/>
              <w:jc w:val="left"/>
            </w:pPr>
            <w:r>
              <w:rPr>
                <w:rFonts w:ascii="Helvetica Neue" w:hAnsi="Helvetica Neue"/>
                <w:b/>
              </w:rPr>
              <w:t xml:space="preserve">Foodsmart / Nourish</w:t>
            </w:r>
          </w:p>
        </w:tc>
        <w:tc>
          <w:p>
            <w:pPr>
              <w:pStyle w:val="Compact"/>
              <w:jc w:val="left"/>
            </w:pPr>
            <w:r>
              <w:rPr>
                <w:rFonts w:ascii="Helvetica Neue" w:hAnsi="Helvetica Neue"/>
              </w:rPr>
              <w:t xml:space="preserve">Payer-funded dietitian care (2.2M members / $1B+ valuation)</w:t>
            </w:r>
          </w:p>
        </w:tc>
        <w:tc>
          <w:p>
            <w:pPr>
              <w:pStyle w:val="Compact"/>
              <w:jc w:val="left"/>
            </w:pPr>
            <w:r>
              <w:rPr>
                <w:rFonts w:ascii="Helvetica Neue" w:hAnsi="Helvetica Neue"/>
              </w:rPr>
              <w:t xml:space="preserve">Care delivery, not the moment of ordering</w:t>
            </w:r>
          </w:p>
        </w:tc>
      </w:tr>
    </w:tbl>
    <w:p>
      <w:pPr>
        <w:pStyle w:val="BodyText"/>
      </w:pPr>
      <w:r>
        <w:rPr>
          <w:b/>
        </w:rPr>
        <w:t xml:space="preserve">The whitespace in one line:</w:t>
      </w:r>
      <w:r>
        <w:t xml:space="preserve"> </w:t>
      </w:r>
      <w:r>
        <w:rPr>
          <w:i/>
        </w:rPr>
        <w:t xml:space="preserve">nobody connects pre-order decision support, verified independent-restaurant data, and post-order confirmed logging — and nobody can prove their numbers.</w:t>
      </w:r>
    </w:p>
    <w:p>
      <w:pPr>
        <w:pStyle w:val="BodyText"/>
      </w:pPr>
      <w:r>
        <w:rPr>
          <w:b/>
        </w:rPr>
        <w:t xml:space="preserve">The moat compounds through participation:</w:t>
      </w:r>
      <w:r>
        <w:t xml:space="preserve"> </w:t>
      </w:r>
      <w:r>
        <w:t xml:space="preserve">every restaurant that verifies its menu, every versioned correction, every order-confirmed meal (ground truth vs. estimate — a validation dataset no retrospective logger can construct), and every calibration cycle makes the data asset harder to replicate than any vision model.</w:t>
      </w:r>
    </w:p>
    <w:p>
      <w:pPr>
        <w:pStyle w:val="Heading2"/>
      </w:pPr>
      <w:bookmarkStart w:id="28" w:name="business-model-three-legs-sequenced"/>
      <w:r>
        <w:t xml:space="preserve">6. Business model — three legs, sequenced</w:t>
      </w:r>
      <w:bookmarkEnd w:id="28"/>
    </w:p>
    <w:p>
      <w:pPr>
        <w:numPr>
          <w:ilvl w:val="0"/>
          <w:numId w:val="1003"/>
        </w:numPr>
        <w:pStyle w:val="Compact"/>
      </w:pPr>
      <w:r>
        <w:rPr>
          <w:b/>
        </w:rPr>
        <w:t xml:space="preserve">Consumer subscription (launch) — priced to win.</w:t>
      </w:r>
      <w:r>
        <w:t xml:space="preserve"> </w:t>
      </w:r>
      <w:r>
        <w:t xml:space="preserve">The closed loop is</w:t>
      </w:r>
      <w:r>
        <w:t xml:space="preserve"> </w:t>
      </w:r>
      <w:r>
        <w:rPr>
          <w:b/>
        </w:rPr>
        <w:t xml:space="preserve">free forever</w:t>
      </w:r>
      <w:r>
        <w:t xml:space="preserve"> </w:t>
      </w:r>
      <w:r>
        <w:t xml:space="preserve">(charging for logging is the incumbents’ most-hated move, and free order volume feeds the restaurant leg). Premium — calibration, analytics, unlimited photo AI, condition packs — at</w:t>
      </w:r>
      <w:r>
        <w:t xml:space="preserve"> </w:t>
      </w:r>
      <w:r>
        <w:rPr>
          <w:b/>
        </w:rPr>
        <w:t xml:space="preserve">$4.99/mo or $39.99/yr</w:t>
      </w:r>
      <w:r>
        <w:t xml:space="preserve">: half of MyFitnessPal’s annual, 4–14× under every incumbent monthly, priced just below the accuracy-monetizers (MacroFactor $71.99/yr) whose model proves trust holds price. Gate growth on</w:t>
      </w:r>
      <w:r>
        <w:t xml:space="preserve"> </w:t>
      </w:r>
      <w:r>
        <w:rPr>
          <w:b/>
        </w:rPr>
        <w:t xml:space="preserve">LTV:CAC ≥ 3:1, ~6-month payback</w:t>
      </w:r>
      <w:r>
        <w:t xml:space="preserve">, funded by a ~$0-CAC channel no logger has: restaurant-partner co-marketing.</w:t>
      </w:r>
    </w:p>
    <w:p>
      <w:pPr>
        <w:numPr>
          <w:ilvl w:val="0"/>
          <w:numId w:val="1003"/>
        </w:numPr>
        <w:pStyle w:val="Compact"/>
      </w:pPr>
      <w:r>
        <w:rPr>
          <w:b/>
        </w:rPr>
        <w:t xml:space="preserve">Restaurant leg — every dollar earned (incentive ladder).</w:t>
      </w:r>
      <w:r>
        <w:t xml:space="preserve"> </w:t>
      </w:r>
      <w:r>
        <w:t xml:space="preserve">Rung 1:</w:t>
      </w:r>
      <w:r>
        <w:t xml:space="preserve"> </w:t>
      </w:r>
      <w:r>
        <w:rPr>
          <w:b/>
        </w:rPr>
        <w:t xml:space="preserve">Verified Partner is free forever</w:t>
      </w:r>
      <w:r>
        <w:t xml:space="preserve"> </w:t>
      </w:r>
      <w:r>
        <w:t xml:space="preserve">(terminal, allergy flags, corrections, badge) — their participation improves our data asset. Rung 2:</w:t>
      </w:r>
      <w:r>
        <w:t xml:space="preserve"> </w:t>
      </w:r>
      <w:r>
        <w:rPr>
          <w:b/>
        </w:rPr>
        <w:t xml:space="preserve">6% commission on Forkcast-originated pickup orders</w:t>
      </w:r>
      <w:r>
        <w:t xml:space="preserve"> </w:t>
      </w:r>
      <w:r>
        <w:t xml:space="preserve">— against the 15–30% they already pay marketplaces, we are the cheap, health-intent channel; they pay only when we deliver a customer. Rung 3: optional</w:t>
      </w:r>
      <w:r>
        <w:t xml:space="preserve"> </w:t>
      </w:r>
      <w:r>
        <w:rPr>
          <w:b/>
        </w:rPr>
        <w:t xml:space="preserve">featured placement from $99/mo</w:t>
      </w:r>
      <w:r>
        <w:t xml:space="preserve">, bought after the order channel proves volume — and</w:t>
      </w:r>
      <w:r>
        <w:t xml:space="preserve"> </w:t>
      </w:r>
      <w:r>
        <w:rPr>
          <w:b/>
        </w:rPr>
        <w:t xml:space="preserve">never affecting Fit Scores</w:t>
      </w:r>
      <w:r>
        <w:t xml:space="preserve">. Blended yield ~$1,050/location/yr.</w:t>
      </w:r>
    </w:p>
    <w:p>
      <w:pPr>
        <w:numPr>
          <w:ilvl w:val="0"/>
          <w:numId w:val="1003"/>
        </w:numPr>
        <w:pStyle w:val="Compact"/>
      </w:pPr>
      <w:r>
        <w:rPr>
          <w:b/>
        </w:rPr>
        <w:t xml:space="preserve">B2B2C covered nutrition (durable).</w:t>
      </w:r>
      <w:r>
        <w:t xml:space="preserve"> </w:t>
      </w:r>
      <w:r>
        <w:t xml:space="preserve">Payer/employer contracts on broadly-covered medical nutrition therapy (CPT 97802–97804); GLP-1 companion programs; Medicaid expansion treated as optionality, not thesis.</w:t>
      </w:r>
    </w:p>
    <w:p>
      <w:pPr>
        <w:pStyle w:val="FirstParagraph"/>
      </w:pPr>
      <w:r>
        <w:t xml:space="preserve">Full assumptions, five-year build, unit economics, and scenarios:</w:t>
      </w:r>
      <w:r>
        <w:t xml:space="preserve"> </w:t>
      </w:r>
      <w:r>
        <w:rPr>
          <w:rStyle w:val="VerbatimChar"/>
        </w:rPr>
        <w:t xml:space="preserve">FINANCIAL_MODEL.md</w:t>
      </w:r>
      <w:r>
        <w:t xml:space="preserve">.</w:t>
      </w:r>
    </w:p>
    <w:p>
      <w:pPr>
        <w:pStyle w:val="Heading2"/>
      </w:pPr>
      <w:bookmarkStart w:id="29" w:name="Xe5b62c9d198b1fe4eddeea7c0e8e9ae59a1336e"/>
      <w:r>
        <w:t xml:space="preserve">7. Go-to-market — density, then proof, then scale</w:t>
      </w:r>
      <w:bookmarkEnd w:id="29"/>
    </w:p>
    <w:p>
      <w:pPr>
        <w:numPr>
          <w:ilvl w:val="0"/>
          <w:numId w:val="1004"/>
        </w:numPr>
        <w:pStyle w:val="Compact"/>
      </w:pPr>
      <w:r>
        <w:rPr>
          <w:b/>
        </w:rPr>
        <w:t xml:space="preserve">Phase 1 (months 0–12): Boston density.</w:t>
      </w:r>
      <w:r>
        <w:t xml:space="preserve"> </w:t>
      </w:r>
      <w:r>
        <w:t xml:space="preserve">Chains seeded from published disclosures (the Sweetgreen/Halal Guys pattern, already demonstrated); independents digitized block-by-block under the documented collection protocol (</w:t>
      </w:r>
      <w:r>
        <w:rPr>
          <w:rStyle w:val="VerbatimChar"/>
        </w:rPr>
        <w:t xml:space="preserve">MENU_COLLECTION.md</w:t>
      </w:r>
      <w:r>
        <w:t xml:space="preserve">: source → digitize → estimate → owner-verify → maintain). Consumer acquisition via TikTok/influencer (the Cal AI playbook) aimed at GLP-1 and goal-oriented audiences — with trust-first, guilt-free positioning the incumbents ceded.</w:t>
      </w:r>
    </w:p>
    <w:p>
      <w:pPr>
        <w:numPr>
          <w:ilvl w:val="0"/>
          <w:numId w:val="1004"/>
        </w:numPr>
        <w:pStyle w:val="Compact"/>
      </w:pPr>
      <w:r>
        <w:rPr>
          <w:b/>
        </w:rPr>
        <w:t xml:space="preserve">The pilot is pre-registered.</w:t>
      </w:r>
      <w:r>
        <w:t xml:space="preserve"> </w:t>
      </w:r>
      <w:r>
        <w:t xml:space="preserve">Six metrics were defined</w:t>
      </w:r>
      <w:r>
        <w:t xml:space="preserve"> </w:t>
      </w:r>
      <w:r>
        <w:rPr>
          <w:i/>
        </w:rPr>
        <w:t xml:space="preserve">before</w:t>
      </w:r>
      <w:r>
        <w:t xml:space="preserve"> </w:t>
      </w:r>
      <w:r>
        <w:t xml:space="preserve">measurement and are published at</w:t>
      </w:r>
      <w:r>
        <w:t xml:space="preserve"> </w:t>
      </w:r>
      <w:r>
        <w:rPr>
          <w:rStyle w:val="VerbatimChar"/>
        </w:rPr>
        <w:t xml:space="preserve">/impact</w:t>
      </w:r>
      <w:r>
        <w:t xml:space="preserve">: pre-order decision rate, verified-menu coverage, correction turnaround, logged-meal accuracy (order ground truth vs. estimates), independent-restaurant onboarding cost, and diet-quality delta. Definitions don’t move after the fact.</w:t>
      </w:r>
    </w:p>
    <w:p>
      <w:pPr>
        <w:numPr>
          <w:ilvl w:val="0"/>
          <w:numId w:val="1004"/>
        </w:numPr>
        <w:pStyle w:val="Compact"/>
      </w:pPr>
      <w:r>
        <w:rPr>
          <w:b/>
        </w:rPr>
        <w:t xml:space="preserve">Phase 2 (12–30 mo):</w:t>
      </w:r>
      <w:r>
        <w:t xml:space="preserve"> </w:t>
      </w:r>
      <w:r>
        <w:t xml:space="preserve">convert coverage into retail-media; raise seed on retention + featured-restaurant proof (AI took 62% of 2025 digital-health VC).</w:t>
      </w:r>
    </w:p>
    <w:p>
      <w:pPr>
        <w:numPr>
          <w:ilvl w:val="0"/>
          <w:numId w:val="1004"/>
        </w:numPr>
        <w:pStyle w:val="Compact"/>
      </w:pPr>
      <w:r>
        <w:rPr>
          <w:b/>
        </w:rPr>
        <w:t xml:space="preserve">Phase 3 (30 mo+):</w:t>
      </w:r>
      <w:r>
        <w:t xml:space="preserve"> </w:t>
      </w:r>
      <w:r>
        <w:t xml:space="preserve">payer/employer contracts on covered MNT.</w:t>
      </w:r>
    </w:p>
    <w:p>
      <w:pPr>
        <w:pStyle w:val="Heading2"/>
      </w:pPr>
      <w:bookmarkStart w:id="30" w:name="funding-strategy"/>
      <w:r>
        <w:t xml:space="preserve">8. Funding strategy</w:t>
      </w:r>
      <w:bookmarkEnd w:id="30"/>
    </w:p>
    <w:p>
      <w:pPr>
        <w:numPr>
          <w:ilvl w:val="0"/>
          <w:numId w:val="1005"/>
        </w:numPr>
        <w:pStyle w:val="Compact"/>
      </w:pPr>
      <w:r>
        <w:rPr>
          <w:b/>
        </w:rPr>
        <w:t xml:space="preserve">Pre-seed:</w:t>
      </w:r>
      <w:r>
        <w:t xml:space="preserve"> </w:t>
      </w:r>
      <w:r>
        <w:t xml:space="preserve">~$1.0–1.5M SAFE (~$5–6M post) — mid-range of 2024–26 norms, defensible with a working product and pilot protocol.</w:t>
      </w:r>
    </w:p>
    <w:p>
      <w:pPr>
        <w:numPr>
          <w:ilvl w:val="0"/>
          <w:numId w:val="1005"/>
        </w:numPr>
        <w:pStyle w:val="Compact"/>
      </w:pPr>
      <w:r>
        <w:rPr>
          <w:b/>
        </w:rPr>
        <w:t xml:space="preserve">Non-dilutive:</w:t>
      </w:r>
      <w:r>
        <w:t xml:space="preserve"> </w:t>
      </w:r>
      <w:r>
        <w:t xml:space="preserve">NIH/NIDDK, USDA-NIFA, and NSF SBIR (Phase I ~$150–300k / $125–175k / ~$275k; Phase II $1–2M).</w:t>
      </w:r>
      <w:r>
        <w:t xml:space="preserve"> </w:t>
      </w:r>
      <w:r>
        <w:rPr>
          <w:i/>
        </w:rPr>
        <w:t xml:space="preserve">SBIR/STTR lapsed Oct 2025, reauthorized Apr 2026 — verify solicitation calendars.</w:t>
      </w:r>
    </w:p>
    <w:p>
      <w:pPr>
        <w:numPr>
          <w:ilvl w:val="0"/>
          <w:numId w:val="1005"/>
        </w:numPr>
        <w:pStyle w:val="Compact"/>
      </w:pPr>
      <w:r>
        <w:rPr>
          <w:b/>
        </w:rPr>
        <w:t xml:space="preserve">Seed (~$4–6M) at months 12–18</w:t>
      </w:r>
      <w:r>
        <w:t xml:space="preserve"> </w:t>
      </w:r>
      <w:r>
        <w:t xml:space="preserve">on retention + featured-cohort proof;</w:t>
      </w:r>
      <w:r>
        <w:t xml:space="preserve"> </w:t>
      </w:r>
      <w:r>
        <w:rPr>
          <w:b/>
        </w:rPr>
        <w:t xml:space="preserve">Series A (~$15–25M)</w:t>
      </w:r>
      <w:r>
        <w:t xml:space="preserve"> </w:t>
      </w:r>
      <w:r>
        <w:t xml:space="preserve">for GTM and the payer leg.</w:t>
      </w:r>
    </w:p>
    <w:p>
      <w:pPr>
        <w:numPr>
          <w:ilvl w:val="0"/>
          <w:numId w:val="1005"/>
        </w:numPr>
        <w:pStyle w:val="Compact"/>
      </w:pPr>
      <w:r>
        <w:rPr>
          <w:b/>
        </w:rPr>
        <w:t xml:space="preserve">Why now:</w:t>
      </w:r>
      <w:r>
        <w:t xml:space="preserve"> </w:t>
      </w:r>
      <w:r>
        <w:t xml:space="preserve">the GLP-1/food-as-medicine funding wave (Nourish $70M Series B at $1B+; Foodsmart $200M; Fay, Berry Street $50M each) rewards exactly this evidence-first nutrition positioning.</w:t>
      </w:r>
    </w:p>
    <w:p>
      <w:pPr>
        <w:pStyle w:val="Heading2"/>
      </w:pPr>
      <w:bookmarkStart w:id="31" w:name="milestones-next-18-months"/>
      <w:r>
        <w:t xml:space="preserve">9. Milestones — next 18 months</w:t>
      </w:r>
      <w:bookmarkEnd w:id="31"/>
    </w:p>
    <w:tbl>
      <w:tblPr>
        <w:tblStyle w:val="Table"/>
        <w:tblW w:type="pct" w:w="5000.0"/>
        <w:tblBorders>
          <w:top w:val="single" w:sz="4" w:color="CCCCCC"/>
          <w:bottom w:val="single" w:sz="4" w:color="CCCCCC"/>
          <w:insideH w:val="single" w:sz="4" w:color="CCCCCC"/>
        </w:tblBorders>
        <w:tblLook w:firstRow="1"/>
      </w:tblPr>
      <w:tblGrid>
        <w:gridCol w:w="2640"/>
        <w:gridCol w:w="2640"/>
        <w:gridCol w:w="2640"/>
      </w:tblGrid>
      <w:tr>
        <w:trPr>
          <w:cnfStyle w:firstRow="1"/>
        </w:trPr>
        <w:tc>
          <w:tcPr>
            <w:tcBorders>
              <w:bottom w:val="single"/>
            </w:tcBorders>
            <w:vAlign w:val="bottom"/>
          </w:tcPr>
          <w:p>
            <w:pPr>
              <w:pStyle w:val="Compact"/>
              <w:jc w:val="left"/>
            </w:pPr>
            <w:r>
              <w:rPr>
                <w:rFonts w:ascii="Helvetica Neue" w:hAnsi="Helvetica Neue"/>
              </w:rPr>
              <w:t xml:space="preserve">Milestone</w:t>
            </w:r>
          </w:p>
        </w:tc>
        <w:tc>
          <w:tcPr>
            <w:tcBorders>
              <w:bottom w:val="single"/>
            </w:tcBorders>
            <w:vAlign w:val="bottom"/>
          </w:tcPr>
          <w:p>
            <w:pPr>
              <w:pStyle w:val="Compact"/>
              <w:jc w:val="left"/>
            </w:pPr>
            <w:r>
              <w:rPr>
                <w:rFonts w:ascii="Helvetica Neue" w:hAnsi="Helvetica Neue"/>
              </w:rPr>
              <w:t xml:space="preserve">Target</w:t>
            </w:r>
          </w:p>
        </w:tc>
        <w:tc>
          <w:tcPr>
            <w:tcBorders>
              <w:bottom w:val="single"/>
            </w:tcBorders>
            <w:vAlign w:val="bottom"/>
          </w:tcPr>
          <w:p>
            <w:pPr>
              <w:pStyle w:val="Compact"/>
              <w:jc w:val="left"/>
            </w:pPr>
            <w:r>
              <w:rPr>
                <w:rFonts w:ascii="Helvetica Neue" w:hAnsi="Helvetica Neue"/>
              </w:rPr>
              <w:t xml:space="preserve">Status</w:t>
            </w:r>
          </w:p>
        </w:tc>
      </w:tr>
      <w:tr>
        <w:tc>
          <w:p>
            <w:pPr>
              <w:pStyle w:val="Compact"/>
              <w:jc w:val="left"/>
            </w:pPr>
            <w:r>
              <w:rPr>
                <w:rFonts w:ascii="Helvetica Neue" w:hAnsi="Helvetica Neue"/>
              </w:rPr>
              <w:t xml:space="preserve">Working end-to-end product (decision → order → log → measure)</w:t>
            </w:r>
          </w:p>
        </w:tc>
        <w:tc>
          <w:p>
            <w:pPr>
              <w:pStyle w:val="Compact"/>
              <w:jc w:val="left"/>
            </w:pPr>
            <w:r>
              <w:rPr>
                <w:rFonts w:ascii="Helvetica Neue" w:hAnsi="Helvetica Neue"/>
              </w:rPr>
              <w:t xml:space="preserve">—</w:t>
            </w:r>
          </w:p>
        </w:tc>
        <w:tc>
          <w:p>
            <w:pPr>
              <w:pStyle w:val="Compact"/>
              <w:jc w:val="left"/>
            </w:pPr>
            <w:r>
              <w:rPr>
                <w:rFonts w:ascii="Helvetica Neue" w:hAnsi="Helvetica Neue"/>
                <w:b/>
              </w:rPr>
              <w:t xml:space="preserve">Done, July 2026</w:t>
            </w:r>
          </w:p>
        </w:tc>
      </w:tr>
      <w:tr>
        <w:tc>
          <w:p>
            <w:pPr>
              <w:pStyle w:val="Compact"/>
              <w:jc w:val="left"/>
            </w:pPr>
            <w:r>
              <w:rPr>
                <w:rFonts w:ascii="Helvetica Neue" w:hAnsi="Helvetica Neue"/>
              </w:rPr>
              <w:t xml:space="preserve">Published-nutrition chain seeding demonstrated</w:t>
            </w:r>
          </w:p>
        </w:tc>
        <w:tc>
          <w:p>
            <w:pPr>
              <w:pStyle w:val="Compact"/>
              <w:jc w:val="left"/>
            </w:pPr>
            <w:r>
              <w:rPr>
                <w:rFonts w:ascii="Helvetica Neue" w:hAnsi="Helvetica Neue"/>
              </w:rPr>
              <w:t xml:space="preserve">—</w:t>
            </w:r>
          </w:p>
        </w:tc>
        <w:tc>
          <w:p>
            <w:pPr>
              <w:pStyle w:val="Compact"/>
              <w:jc w:val="left"/>
            </w:pPr>
            <w:r>
              <w:rPr>
                <w:rFonts w:ascii="Helvetica Neue" w:hAnsi="Helvetica Neue"/>
                <w:b/>
              </w:rPr>
              <w:t xml:space="preserve">Done</w:t>
            </w:r>
            <w:r>
              <w:rPr>
                <w:rFonts w:ascii="Helvetica Neue" w:hAnsi="Helvetica Neue"/>
              </w:rPr>
              <w:t xml:space="preserve"> </w:t>
            </w:r>
            <w:r>
              <w:rPr>
                <w:rFonts w:ascii="Helvetica Neue" w:hAnsi="Helvetica Neue"/>
              </w:rPr>
              <w:t xml:space="preserve">(Sweetgreen, Halal Guys)</w:t>
            </w:r>
          </w:p>
        </w:tc>
      </w:tr>
      <w:tr>
        <w:tc>
          <w:p>
            <w:pPr>
              <w:pStyle w:val="Compact"/>
              <w:jc w:val="left"/>
            </w:pPr>
            <w:r>
              <w:rPr>
                <w:rFonts w:ascii="Helvetica Neue" w:hAnsi="Helvetica Neue"/>
              </w:rPr>
              <w:t xml:space="preserve">Pilot metrics pre-registered publicly</w:t>
            </w:r>
          </w:p>
        </w:tc>
        <w:tc>
          <w:p>
            <w:pPr>
              <w:pStyle w:val="Compact"/>
              <w:jc w:val="left"/>
            </w:pPr>
            <w:r>
              <w:rPr>
                <w:rFonts w:ascii="Helvetica Neue" w:hAnsi="Helvetica Neue"/>
              </w:rPr>
              <w:t xml:space="preserve">—</w:t>
            </w:r>
          </w:p>
        </w:tc>
        <w:tc>
          <w:p>
            <w:pPr>
              <w:pStyle w:val="Compact"/>
              <w:jc w:val="left"/>
            </w:pPr>
            <w:r>
              <w:rPr>
                <w:rFonts w:ascii="Helvetica Neue" w:hAnsi="Helvetica Neue"/>
                <w:b/>
              </w:rPr>
              <w:t xml:space="preserve">Done</w:t>
            </w:r>
            <w:r>
              <w:rPr>
                <w:rFonts w:ascii="Helvetica Neue" w:hAnsi="Helvetica Neue"/>
              </w:rPr>
              <w:t xml:space="preserve"> </w:t>
            </w:r>
            <w:r>
              <w:rPr>
                <w:rFonts w:ascii="Helvetica Neue" w:hAnsi="Helvetica Neue"/>
              </w:rPr>
              <w:t xml:space="preserve">(</w:t>
            </w:r>
            <w:r>
              <w:rPr>
                <w:rFonts w:ascii="Helvetica Neue" w:hAnsi="Helvetica Neue"/>
                <w:rStyle w:val="VerbatimChar"/>
              </w:rPr>
              <w:t xml:space="preserve">/impact</w:t>
            </w:r>
            <w:r>
              <w:rPr>
                <w:rFonts w:ascii="Helvetica Neue" w:hAnsi="Helvetica Neue"/>
              </w:rPr>
              <w:t xml:space="preserve">)</w:t>
            </w:r>
          </w:p>
        </w:tc>
      </w:tr>
      <w:tr>
        <w:tc>
          <w:p>
            <w:pPr>
              <w:pStyle w:val="Compact"/>
              <w:jc w:val="left"/>
            </w:pPr>
            <w:r>
              <w:rPr>
                <w:rFonts w:ascii="Helvetica Neue" w:hAnsi="Helvetica Neue"/>
              </w:rPr>
              <w:t xml:space="preserve">Backend (cross-device accounts, live terminal sync)</w:t>
            </w:r>
          </w:p>
        </w:tc>
        <w:tc>
          <w:p>
            <w:pPr>
              <w:pStyle w:val="Compact"/>
              <w:jc w:val="left"/>
            </w:pPr>
            <w:r>
              <w:rPr>
                <w:rFonts w:ascii="Helvetica Neue" w:hAnsi="Helvetica Neue"/>
              </w:rPr>
              <w:t xml:space="preserve">Month 1–2</w:t>
            </w:r>
          </w:p>
        </w:tc>
        <w:tc>
          <w:p>
            <w:pPr>
              <w:pStyle w:val="Compact"/>
              <w:jc w:val="left"/>
            </w:pPr>
            <w:r>
              <w:rPr>
                <w:rFonts w:ascii="Helvetica Neue" w:hAnsi="Helvetica Neue"/>
              </w:rPr>
              <w:t xml:space="preserve">Next</w:t>
            </w:r>
          </w:p>
        </w:tc>
      </w:tr>
      <w:tr>
        <w:tc>
          <w:p>
            <w:pPr>
              <w:pStyle w:val="Compact"/>
              <w:jc w:val="left"/>
            </w:pPr>
            <w:r>
              <w:rPr>
                <w:rFonts w:ascii="Helvetica Neue" w:hAnsi="Helvetica Neue"/>
              </w:rPr>
              <w:t xml:space="preserve">Catalog: 20+ restaurants incl. verified independents</w:t>
            </w:r>
          </w:p>
        </w:tc>
        <w:tc>
          <w:p>
            <w:pPr>
              <w:pStyle w:val="Compact"/>
              <w:jc w:val="left"/>
            </w:pPr>
            <w:r>
              <w:rPr>
                <w:rFonts w:ascii="Helvetica Neue" w:hAnsi="Helvetica Neue"/>
              </w:rPr>
              <w:t xml:space="preserve">Month 3</w:t>
            </w:r>
          </w:p>
        </w:tc>
        <w:tc>
          <w:p>
            <w:pPr>
              <w:pStyle w:val="Compact"/>
              <w:jc w:val="left"/>
            </w:pPr>
            <w:r>
              <w:rPr>
                <w:rFonts w:ascii="Helvetica Neue" w:hAnsi="Helvetica Neue"/>
              </w:rPr>
              <w:t xml:space="preserve">13 today</w:t>
            </w:r>
          </w:p>
        </w:tc>
      </w:tr>
      <w:tr>
        <w:tc>
          <w:p>
            <w:pPr>
              <w:pStyle w:val="Compact"/>
              <w:jc w:val="left"/>
            </w:pPr>
            <w:r>
              <w:rPr>
                <w:rFonts w:ascii="Helvetica Neue" w:hAnsi="Helvetica Neue"/>
              </w:rPr>
              <w:t xml:space="preserve">First 3–5 owner-verified partner restaurants (letters + correction logs)</w:t>
            </w:r>
          </w:p>
        </w:tc>
        <w:tc>
          <w:p>
            <w:pPr>
              <w:pStyle w:val="Compact"/>
              <w:jc w:val="left"/>
            </w:pPr>
            <w:r>
              <w:rPr>
                <w:rFonts w:ascii="Helvetica Neue" w:hAnsi="Helvetica Neue"/>
              </w:rPr>
              <w:t xml:space="preserve">Month 4–6</w:t>
            </w:r>
          </w:p>
        </w:tc>
        <w:tc>
          <w:p>
            <w:pPr>
              <w:pStyle w:val="Compact"/>
              <w:jc w:val="left"/>
            </w:pPr>
            <w:r>
              <w:rPr>
                <w:rFonts w:ascii="Helvetica Neue" w:hAnsi="Helvetica Neue"/>
              </w:rPr>
              <w:t xml:space="preserve">—</w:t>
            </w:r>
          </w:p>
        </w:tc>
      </w:tr>
      <w:tr>
        <w:tc>
          <w:p>
            <w:pPr>
              <w:pStyle w:val="Compact"/>
              <w:jc w:val="left"/>
            </w:pPr>
            <w:r>
              <w:rPr>
                <w:rFonts w:ascii="Helvetica Neue" w:hAnsi="Helvetica Neue"/>
              </w:rPr>
              <w:t xml:space="preserve">D30 retention</w:t>
            </w:r>
          </w:p>
        </w:tc>
        <w:tc>
          <w:p>
            <w:pPr>
              <w:pStyle w:val="Compact"/>
              <w:jc w:val="left"/>
            </w:pPr>
            <w:r>
              <w:rPr>
                <w:rFonts w:ascii="Helvetica Neue" w:hAnsi="Helvetica Neue"/>
                <w:b/>
              </w:rPr>
              <w:t xml:space="preserve">&gt;35%</w:t>
            </w:r>
            <w:r>
              <w:rPr>
                <w:rFonts w:ascii="Helvetica Neue" w:hAnsi="Helvetica Neue"/>
              </w:rPr>
              <w:t xml:space="preserve"> </w:t>
            </w:r>
            <w:r>
              <w:rPr>
                <w:rFonts w:ascii="Helvetica Neue" w:hAnsi="Helvetica Neue"/>
              </w:rPr>
              <w:t xml:space="preserve">(vs. ~30% category)</w:t>
            </w:r>
          </w:p>
        </w:tc>
        <w:tc>
          <w:p>
            <w:pPr>
              <w:pStyle w:val="Compact"/>
              <w:jc w:val="left"/>
            </w:pPr>
            <w:r>
              <w:rPr>
                <w:rFonts w:ascii="Helvetica Neue" w:hAnsi="Helvetica Neue"/>
              </w:rPr>
              <w:t xml:space="preserve">—</w:t>
            </w:r>
          </w:p>
        </w:tc>
      </w:tr>
      <w:tr>
        <w:tc>
          <w:p>
            <w:pPr>
              <w:pStyle w:val="Compact"/>
              <w:jc w:val="left"/>
            </w:pPr>
            <w:r>
              <w:rPr>
                <w:rFonts w:ascii="Helvetica Neue" w:hAnsi="Helvetica Neue"/>
              </w:rPr>
              <w:t xml:space="preserve">Featured-restaurant cohort</w:t>
            </w:r>
          </w:p>
        </w:tc>
        <w:tc>
          <w:p>
            <w:pPr>
              <w:pStyle w:val="Compact"/>
              <w:jc w:val="left"/>
            </w:pPr>
            <w:r>
              <w:rPr>
                <w:rFonts w:ascii="Helvetica Neue" w:hAnsi="Helvetica Neue"/>
              </w:rPr>
              <w:t xml:space="preserve">150+</w:t>
            </w:r>
          </w:p>
        </w:tc>
        <w:tc>
          <w:p>
            <w:pPr>
              <w:pStyle w:val="Compact"/>
              <w:jc w:val="left"/>
            </w:pPr>
            <w:r>
              <w:rPr>
                <w:rFonts w:ascii="Helvetica Neue" w:hAnsi="Helvetica Neue"/>
              </w:rPr>
              <w:t xml:space="preserve">—</w:t>
            </w:r>
          </w:p>
        </w:tc>
      </w:tr>
      <w:tr>
        <w:tc>
          <w:p>
            <w:pPr>
              <w:pStyle w:val="Compact"/>
              <w:jc w:val="left"/>
            </w:pPr>
            <w:r>
              <w:rPr>
                <w:rFonts w:ascii="Helvetica Neue" w:hAnsi="Helvetica Neue"/>
              </w:rPr>
              <w:t xml:space="preserve">Paying subscribers (Boston)</w:t>
            </w:r>
          </w:p>
        </w:tc>
        <w:tc>
          <w:p>
            <w:pPr>
              <w:pStyle w:val="Compact"/>
              <w:jc w:val="left"/>
            </w:pPr>
            <w:r>
              <w:rPr>
                <w:rFonts w:ascii="Helvetica Neue" w:hAnsi="Helvetica Neue"/>
              </w:rPr>
              <w:t xml:space="preserve">~3,000</w:t>
            </w:r>
          </w:p>
        </w:tc>
        <w:tc>
          <w:p>
            <w:pPr>
              <w:pStyle w:val="Compact"/>
              <w:jc w:val="left"/>
            </w:pPr>
            <w:r>
              <w:rPr>
                <w:rFonts w:ascii="Helvetica Neue" w:hAnsi="Helvetica Neue"/>
              </w:rPr>
              <w:t xml:space="preserve">—</w:t>
            </w:r>
          </w:p>
        </w:tc>
      </w:tr>
      <w:tr>
        <w:tc>
          <w:p>
            <w:pPr>
              <w:pStyle w:val="Compact"/>
              <w:jc w:val="left"/>
            </w:pPr>
            <w:r>
              <w:rPr>
                <w:rFonts w:ascii="Helvetica Neue" w:hAnsi="Helvetica Neue"/>
              </w:rPr>
              <w:t xml:space="preserve">SBIR Phase I submitted/awarded</w:t>
            </w:r>
          </w:p>
        </w:tc>
        <w:tc>
          <w:p>
            <w:pPr>
              <w:pStyle w:val="Compact"/>
              <w:jc w:val="left"/>
            </w:pPr>
            <w:r>
              <w:rPr>
                <w:rFonts w:ascii="Helvetica Neue" w:hAnsi="Helvetica Neue"/>
              </w:rPr>
              <w:t xml:space="preserve">Month 9–12</w:t>
            </w:r>
          </w:p>
        </w:tc>
        <w:tc>
          <w:p>
            <w:pPr>
              <w:pStyle w:val="Compact"/>
              <w:jc w:val="left"/>
            </w:pPr>
            <w:r>
              <w:rPr>
                <w:rFonts w:ascii="Helvetica Neue" w:hAnsi="Helvetica Neue"/>
              </w:rPr>
              <w:t xml:space="preserve">—</w:t>
            </w:r>
          </w:p>
        </w:tc>
      </w:tr>
      <w:tr>
        <w:tc>
          <w:p>
            <w:pPr>
              <w:pStyle w:val="Compact"/>
              <w:jc w:val="left"/>
            </w:pPr>
            <w:r>
              <w:rPr>
                <w:rFonts w:ascii="Helvetica Neue" w:hAnsi="Helvetica Neue"/>
              </w:rPr>
              <w:t xml:space="preserve">Seed raised</w:t>
            </w:r>
          </w:p>
        </w:tc>
        <w:tc>
          <w:p>
            <w:pPr>
              <w:pStyle w:val="Compact"/>
              <w:jc w:val="left"/>
            </w:pPr>
            <w:r>
              <w:rPr>
                <w:rFonts w:ascii="Helvetica Neue" w:hAnsi="Helvetica Neue"/>
              </w:rPr>
              <w:t xml:space="preserve">Month 12–18</w:t>
            </w:r>
          </w:p>
        </w:tc>
        <w:tc>
          <w:p>
            <w:pPr>
              <w:pStyle w:val="Compact"/>
              <w:jc w:val="left"/>
            </w:pPr>
            <w:r>
              <w:rPr>
                <w:rFonts w:ascii="Helvetica Neue" w:hAnsi="Helvetica Neue"/>
              </w:rPr>
              <w:t xml:space="preserve">—</w:t>
            </w:r>
          </w:p>
        </w:tc>
      </w:tr>
    </w:tbl>
    <w:p>
      <w:pPr>
        <w:pStyle w:val="Heading3"/>
      </w:pPr>
      <w:bookmarkStart w:id="32" w:name="X386a9f410a5441f6c045d915dee2fe92cd512a2"/>
      <w:r>
        <w:t xml:space="preserve">Five-year plan (projection; reconciles to</w:t>
      </w:r>
      <w:r>
        <w:t xml:space="preserve"> </w:t>
      </w:r>
      <w:r>
        <w:rPr>
          <w:rStyle w:val="VerbatimChar"/>
        </w:rPr>
        <w:t xml:space="preserve">FINANCIAL_MODEL.md</w:t>
      </w:r>
      <w:r>
        <w:t xml:space="preserve">)</w:t>
      </w:r>
      <w:bookmarkEnd w:id="32"/>
    </w:p>
    <w:tbl>
      <w:tblPr>
        <w:tblStyle w:val="Table"/>
        <w:tblW w:type="pct" w:w="5000.0"/>
        <w:tblBorders>
          <w:top w:val="single" w:sz="4" w:color="CCCCCC"/>
          <w:bottom w:val="single" w:sz="4" w:color="CCCCCC"/>
          <w:insideH w:val="single" w:sz="4" w:color="CCCCCC"/>
        </w:tblBorders>
        <w:tblLook w:firstRow="1"/>
      </w:tblPr>
      <w:tblGrid>
        <w:gridCol w:w="1033"/>
        <w:gridCol w:w="1377"/>
        <w:gridCol w:w="1377"/>
        <w:gridCol w:w="1377"/>
        <w:gridCol w:w="1377"/>
        <w:gridCol w:w="1377"/>
      </w:tblGrid>
      <w:tr>
        <w:trPr>
          <w:cnfStyle w:firstRow="1"/>
        </w:trPr>
        <w:tc>
          <w:tcPr>
            <w:tcBorders>
              <w:bottom w:val="single"/>
            </w:tcBorders>
            <w:vAlign w:val="bottom"/>
          </w:tcPr>
          <w:p/>
        </w:tc>
        <w:tc>
          <w:tcPr>
            <w:tcBorders>
              <w:bottom w:val="single"/>
            </w:tcBorders>
            <w:vAlign w:val="bottom"/>
          </w:tcPr>
          <w:p>
            <w:pPr>
              <w:pStyle w:val="Compact"/>
              <w:jc w:val="right"/>
            </w:pPr>
            <w:r>
              <w:rPr>
                <w:rFonts w:ascii="Helvetica Neue" w:hAnsi="Helvetica Neue"/>
              </w:rPr>
              <w:t xml:space="preserve">Y1</w:t>
            </w:r>
          </w:p>
        </w:tc>
        <w:tc>
          <w:tcPr>
            <w:tcBorders>
              <w:bottom w:val="single"/>
            </w:tcBorders>
            <w:vAlign w:val="bottom"/>
          </w:tcPr>
          <w:p>
            <w:pPr>
              <w:pStyle w:val="Compact"/>
              <w:jc w:val="right"/>
            </w:pPr>
            <w:r>
              <w:rPr>
                <w:rFonts w:ascii="Helvetica Neue" w:hAnsi="Helvetica Neue"/>
              </w:rPr>
              <w:t xml:space="preserve">Y2</w:t>
            </w:r>
          </w:p>
        </w:tc>
        <w:tc>
          <w:tcPr>
            <w:tcBorders>
              <w:bottom w:val="single"/>
            </w:tcBorders>
            <w:vAlign w:val="bottom"/>
          </w:tcPr>
          <w:p>
            <w:pPr>
              <w:pStyle w:val="Compact"/>
              <w:jc w:val="right"/>
            </w:pPr>
            <w:r>
              <w:rPr>
                <w:rFonts w:ascii="Helvetica Neue" w:hAnsi="Helvetica Neue"/>
              </w:rPr>
              <w:t xml:space="preserve">Y3</w:t>
            </w:r>
          </w:p>
        </w:tc>
        <w:tc>
          <w:tcPr>
            <w:tcBorders>
              <w:bottom w:val="single"/>
            </w:tcBorders>
            <w:vAlign w:val="bottom"/>
          </w:tcPr>
          <w:p>
            <w:pPr>
              <w:pStyle w:val="Compact"/>
              <w:jc w:val="right"/>
            </w:pPr>
            <w:r>
              <w:rPr>
                <w:rFonts w:ascii="Helvetica Neue" w:hAnsi="Helvetica Neue"/>
              </w:rPr>
              <w:t xml:space="preserve">Y4</w:t>
            </w:r>
          </w:p>
        </w:tc>
        <w:tc>
          <w:tcPr>
            <w:tcBorders>
              <w:bottom w:val="single"/>
            </w:tcBorders>
            <w:vAlign w:val="bottom"/>
          </w:tcPr>
          <w:p>
            <w:pPr>
              <w:pStyle w:val="Compact"/>
              <w:jc w:val="right"/>
            </w:pPr>
            <w:r>
              <w:rPr>
                <w:rFonts w:ascii="Helvetica Neue" w:hAnsi="Helvetica Neue"/>
              </w:rPr>
              <w:t xml:space="preserve">Y5</w:t>
            </w:r>
          </w:p>
        </w:tc>
      </w:tr>
      <w:tr>
        <w:tc>
          <w:p>
            <w:pPr>
              <w:pStyle w:val="Compact"/>
              <w:jc w:val="left"/>
            </w:pPr>
            <w:r>
              <w:rPr>
                <w:rFonts w:ascii="Helvetica Neue" w:hAnsi="Helvetica Neue"/>
              </w:rPr>
              <w:t xml:space="preserve">Metros</w:t>
            </w:r>
          </w:p>
        </w:tc>
        <w:tc>
          <w:p>
            <w:pPr>
              <w:pStyle w:val="Compact"/>
              <w:jc w:val="right"/>
            </w:pPr>
            <w:r>
              <w:rPr>
                <w:rFonts w:ascii="Helvetica Neue" w:hAnsi="Helvetica Neue"/>
              </w:rPr>
              <w:t xml:space="preserve">Boston</w:t>
            </w:r>
          </w:p>
        </w:tc>
        <w:tc>
          <w:p>
            <w:pPr>
              <w:pStyle w:val="Compact"/>
              <w:jc w:val="right"/>
            </w:pPr>
            <w:r>
              <w:rPr>
                <w:rFonts w:ascii="Helvetica Neue" w:hAnsi="Helvetica Neue"/>
              </w:rPr>
              <w:t xml:space="preserve">3</w:t>
            </w:r>
          </w:p>
        </w:tc>
        <w:tc>
          <w:p>
            <w:pPr>
              <w:pStyle w:val="Compact"/>
              <w:jc w:val="right"/>
            </w:pPr>
            <w:r>
              <w:rPr>
                <w:rFonts w:ascii="Helvetica Neue" w:hAnsi="Helvetica Neue"/>
              </w:rPr>
              <w:t xml:space="preserve">8</w:t>
            </w:r>
          </w:p>
        </w:tc>
        <w:tc>
          <w:p>
            <w:pPr>
              <w:pStyle w:val="Compact"/>
              <w:jc w:val="right"/>
            </w:pPr>
            <w:r>
              <w:rPr>
                <w:rFonts w:ascii="Helvetica Neue" w:hAnsi="Helvetica Neue"/>
              </w:rPr>
              <w:t xml:space="preserve">15</w:t>
            </w:r>
          </w:p>
        </w:tc>
        <w:tc>
          <w:p>
            <w:pPr>
              <w:pStyle w:val="Compact"/>
              <w:jc w:val="right"/>
            </w:pPr>
            <w:r>
              <w:rPr>
                <w:rFonts w:ascii="Helvetica Neue" w:hAnsi="Helvetica Neue"/>
              </w:rPr>
              <w:t xml:space="preserve">25</w:t>
            </w:r>
          </w:p>
        </w:tc>
      </w:tr>
      <w:tr>
        <w:tc>
          <w:p>
            <w:pPr>
              <w:pStyle w:val="Compact"/>
              <w:jc w:val="left"/>
            </w:pPr>
            <w:r>
              <w:rPr>
                <w:rFonts w:ascii="Helvetica Neue" w:hAnsi="Helvetica Neue"/>
              </w:rPr>
              <w:t xml:space="preserve">Paying subscribers (yr-end)</w:t>
            </w:r>
          </w:p>
        </w:tc>
        <w:tc>
          <w:p>
            <w:pPr>
              <w:pStyle w:val="Compact"/>
              <w:jc w:val="right"/>
            </w:pPr>
            <w:r>
              <w:rPr>
                <w:rFonts w:ascii="Helvetica Neue" w:hAnsi="Helvetica Neue"/>
              </w:rPr>
              <w:t xml:space="preserve">~3k</w:t>
            </w:r>
          </w:p>
        </w:tc>
        <w:tc>
          <w:p>
            <w:pPr>
              <w:pStyle w:val="Compact"/>
              <w:jc w:val="right"/>
            </w:pPr>
            <w:r>
              <w:rPr>
                <w:rFonts w:ascii="Helvetica Neue" w:hAnsi="Helvetica Neue"/>
              </w:rPr>
              <w:t xml:space="preserve">~25k</w:t>
            </w:r>
          </w:p>
        </w:tc>
        <w:tc>
          <w:p>
            <w:pPr>
              <w:pStyle w:val="Compact"/>
              <w:jc w:val="right"/>
            </w:pPr>
            <w:r>
              <w:rPr>
                <w:rFonts w:ascii="Helvetica Neue" w:hAnsi="Helvetica Neue"/>
              </w:rPr>
              <w:t xml:space="preserve">~90k</w:t>
            </w:r>
          </w:p>
        </w:tc>
        <w:tc>
          <w:p>
            <w:pPr>
              <w:pStyle w:val="Compact"/>
              <w:jc w:val="right"/>
            </w:pPr>
            <w:r>
              <w:rPr>
                <w:rFonts w:ascii="Helvetica Neue" w:hAnsi="Helvetica Neue"/>
              </w:rPr>
              <w:t xml:space="preserve">~220k</w:t>
            </w:r>
          </w:p>
        </w:tc>
        <w:tc>
          <w:p>
            <w:pPr>
              <w:pStyle w:val="Compact"/>
              <w:jc w:val="right"/>
            </w:pPr>
            <w:r>
              <w:rPr>
                <w:rFonts w:ascii="Helvetica Neue" w:hAnsi="Helvetica Neue"/>
              </w:rPr>
              <w:t xml:space="preserve">~450k</w:t>
            </w:r>
          </w:p>
        </w:tc>
      </w:tr>
      <w:tr>
        <w:tc>
          <w:p>
            <w:pPr>
              <w:pStyle w:val="Compact"/>
              <w:jc w:val="left"/>
            </w:pPr>
            <w:r>
              <w:rPr>
                <w:rFonts w:ascii="Helvetica Neue" w:hAnsi="Helvetica Neue"/>
              </w:rPr>
              <w:t xml:space="preserve">Verified Partner restaurants</w:t>
            </w:r>
          </w:p>
        </w:tc>
        <w:tc>
          <w:p>
            <w:pPr>
              <w:pStyle w:val="Compact"/>
              <w:jc w:val="right"/>
            </w:pPr>
            <w:r>
              <w:rPr>
                <w:rFonts w:ascii="Helvetica Neue" w:hAnsi="Helvetica Neue"/>
              </w:rPr>
              <w:t xml:space="preserve">~20</w:t>
            </w:r>
          </w:p>
        </w:tc>
        <w:tc>
          <w:p>
            <w:pPr>
              <w:pStyle w:val="Compact"/>
              <w:jc w:val="right"/>
            </w:pPr>
            <w:r>
              <w:rPr>
                <w:rFonts w:ascii="Helvetica Neue" w:hAnsi="Helvetica Neue"/>
              </w:rPr>
              <w:t xml:space="preserve">~400</w:t>
            </w:r>
          </w:p>
        </w:tc>
        <w:tc>
          <w:p>
            <w:pPr>
              <w:pStyle w:val="Compact"/>
              <w:jc w:val="right"/>
            </w:pPr>
            <w:r>
              <w:rPr>
                <w:rFonts w:ascii="Helvetica Neue" w:hAnsi="Helvetica Neue"/>
              </w:rPr>
              <w:t xml:space="preserve">~1,500</w:t>
            </w:r>
          </w:p>
        </w:tc>
        <w:tc>
          <w:p>
            <w:pPr>
              <w:pStyle w:val="Compact"/>
              <w:jc w:val="right"/>
            </w:pPr>
            <w:r>
              <w:rPr>
                <w:rFonts w:ascii="Helvetica Neue" w:hAnsi="Helvetica Neue"/>
              </w:rPr>
              <w:t xml:space="preserve">~4,000</w:t>
            </w:r>
          </w:p>
        </w:tc>
        <w:tc>
          <w:p>
            <w:pPr>
              <w:pStyle w:val="Compact"/>
              <w:jc w:val="right"/>
            </w:pPr>
            <w:r>
              <w:rPr>
                <w:rFonts w:ascii="Helvetica Neue" w:hAnsi="Helvetica Neue"/>
              </w:rPr>
              <w:t xml:space="preserve">~9,000</w:t>
            </w:r>
          </w:p>
        </w:tc>
      </w:tr>
      <w:tr>
        <w:tc>
          <w:p>
            <w:pPr>
              <w:pStyle w:val="Compact"/>
              <w:jc w:val="left"/>
            </w:pPr>
            <w:r>
              <w:rPr>
                <w:rFonts w:ascii="Helvetica Neue" w:hAnsi="Helvetica Neue"/>
              </w:rPr>
              <w:t xml:space="preserve">Team (yr-end)</w:t>
            </w:r>
          </w:p>
        </w:tc>
        <w:tc>
          <w:p>
            <w:pPr>
              <w:pStyle w:val="Compact"/>
              <w:jc w:val="right"/>
            </w:pPr>
            <w:r>
              <w:rPr>
                <w:rFonts w:ascii="Helvetica Neue" w:hAnsi="Helvetica Neue"/>
              </w:rPr>
              <w:t xml:space="preserve">5</w:t>
            </w:r>
          </w:p>
        </w:tc>
        <w:tc>
          <w:p>
            <w:pPr>
              <w:pStyle w:val="Compact"/>
              <w:jc w:val="right"/>
            </w:pPr>
            <w:r>
              <w:rPr>
                <w:rFonts w:ascii="Helvetica Neue" w:hAnsi="Helvetica Neue"/>
              </w:rPr>
              <w:t xml:space="preserve">12</w:t>
            </w:r>
          </w:p>
        </w:tc>
        <w:tc>
          <w:p>
            <w:pPr>
              <w:pStyle w:val="Compact"/>
              <w:jc w:val="right"/>
            </w:pPr>
            <w:r>
              <w:rPr>
                <w:rFonts w:ascii="Helvetica Neue" w:hAnsi="Helvetica Neue"/>
              </w:rPr>
              <w:t xml:space="preserve">24</w:t>
            </w:r>
          </w:p>
        </w:tc>
        <w:tc>
          <w:p>
            <w:pPr>
              <w:pStyle w:val="Compact"/>
              <w:jc w:val="right"/>
            </w:pPr>
            <w:r>
              <w:rPr>
                <w:rFonts w:ascii="Helvetica Neue" w:hAnsi="Helvetica Neue"/>
              </w:rPr>
              <w:t xml:space="preserve">40</w:t>
            </w:r>
          </w:p>
        </w:tc>
        <w:tc>
          <w:p>
            <w:pPr>
              <w:pStyle w:val="Compact"/>
              <w:jc w:val="right"/>
            </w:pPr>
            <w:r>
              <w:rPr>
                <w:rFonts w:ascii="Helvetica Neue" w:hAnsi="Helvetica Neue"/>
              </w:rPr>
              <w:t xml:space="preserve">62</w:t>
            </w:r>
          </w:p>
        </w:tc>
      </w:tr>
      <w:tr>
        <w:tc>
          <w:p>
            <w:pPr>
              <w:pStyle w:val="Compact"/>
              <w:jc w:val="left"/>
            </w:pPr>
            <w:r>
              <w:rPr>
                <w:rFonts w:ascii="Helvetica Neue" w:hAnsi="Helvetica Neue"/>
              </w:rPr>
              <w:t xml:space="preserve">Revenue</w:t>
            </w:r>
          </w:p>
        </w:tc>
        <w:tc>
          <w:p>
            <w:pPr>
              <w:pStyle w:val="Compact"/>
              <w:jc w:val="right"/>
            </w:pPr>
            <w:r>
              <w:rPr>
                <w:rFonts w:ascii="Helvetica Neue" w:hAnsi="Helvetica Neue"/>
              </w:rPr>
              <w:t xml:space="preserve">$0.15M</w:t>
            </w:r>
          </w:p>
        </w:tc>
        <w:tc>
          <w:p>
            <w:pPr>
              <w:pStyle w:val="Compact"/>
              <w:jc w:val="right"/>
            </w:pPr>
            <w:r>
              <w:rPr>
                <w:rFonts w:ascii="Helvetica Neue" w:hAnsi="Helvetica Neue"/>
              </w:rPr>
              <w:t xml:space="preserve">$1.47M</w:t>
            </w:r>
          </w:p>
        </w:tc>
        <w:tc>
          <w:p>
            <w:pPr>
              <w:pStyle w:val="Compact"/>
              <w:jc w:val="right"/>
            </w:pPr>
            <w:r>
              <w:rPr>
                <w:rFonts w:ascii="Helvetica Neue" w:hAnsi="Helvetica Neue"/>
              </w:rPr>
              <w:t xml:space="preserve">$5.86M</w:t>
            </w:r>
          </w:p>
        </w:tc>
        <w:tc>
          <w:p>
            <w:pPr>
              <w:pStyle w:val="Compact"/>
              <w:jc w:val="right"/>
            </w:pPr>
            <w:r>
              <w:rPr>
                <w:rFonts w:ascii="Helvetica Neue" w:hAnsi="Helvetica Neue"/>
              </w:rPr>
              <w:t xml:space="preserve">$16.44M</w:t>
            </w:r>
          </w:p>
        </w:tc>
        <w:tc>
          <w:p>
            <w:pPr>
              <w:pStyle w:val="Compact"/>
              <w:jc w:val="right"/>
            </w:pPr>
            <w:r>
              <w:rPr>
                <w:rFonts w:ascii="Helvetica Neue" w:hAnsi="Helvetica Neue"/>
              </w:rPr>
              <w:t xml:space="preserve">$37.35M</w:t>
            </w:r>
          </w:p>
        </w:tc>
      </w:tr>
      <w:tr>
        <w:tc>
          <w:p>
            <w:pPr>
              <w:pStyle w:val="Compact"/>
              <w:jc w:val="left"/>
            </w:pPr>
            <w:r>
              <w:rPr>
                <w:rFonts w:ascii="Helvetica Neue" w:hAnsi="Helvetica Neue"/>
              </w:rPr>
              <w:t xml:space="preserve">Milestone</w:t>
            </w:r>
          </w:p>
        </w:tc>
        <w:tc>
          <w:p>
            <w:pPr>
              <w:pStyle w:val="Compact"/>
              <w:jc w:val="right"/>
            </w:pPr>
            <w:r>
              <w:rPr>
                <w:rFonts w:ascii="Helvetica Neue" w:hAnsi="Helvetica Neue"/>
              </w:rPr>
              <w:t xml:space="preserve">Pilot evidence</w:t>
            </w:r>
          </w:p>
        </w:tc>
        <w:tc>
          <w:p>
            <w:pPr>
              <w:pStyle w:val="Compact"/>
              <w:jc w:val="right"/>
            </w:pPr>
            <w:r>
              <w:rPr>
                <w:rFonts w:ascii="Helvetica Neue" w:hAnsi="Helvetica Neue"/>
              </w:rPr>
              <w:t xml:space="preserve">Playbook ×3</w:t>
            </w:r>
          </w:p>
        </w:tc>
        <w:tc>
          <w:p>
            <w:pPr>
              <w:pStyle w:val="Compact"/>
              <w:jc w:val="right"/>
            </w:pPr>
            <w:r>
              <w:rPr>
                <w:rFonts w:ascii="Helvetica Neue" w:hAnsi="Helvetica Neue"/>
              </w:rPr>
              <w:t xml:space="preserve">B2B2C first contracts</w:t>
            </w:r>
          </w:p>
        </w:tc>
        <w:tc>
          <w:p>
            <w:pPr>
              <w:pStyle w:val="Compact"/>
              <w:jc w:val="right"/>
            </w:pPr>
            <w:r>
              <w:rPr>
                <w:rFonts w:ascii="Helvetica Neue" w:hAnsi="Helvetica Neue"/>
              </w:rPr>
              <w:t xml:space="preserve">Approaching breakeven</w:t>
            </w:r>
          </w:p>
        </w:tc>
        <w:tc>
          <w:p>
            <w:pPr>
              <w:pStyle w:val="Compact"/>
              <w:jc w:val="right"/>
            </w:pPr>
            <w:r>
              <w:rPr>
                <w:rFonts w:ascii="Helvetica Neue" w:hAnsi="Helvetica Neue"/>
              </w:rPr>
              <w:t xml:space="preserve">Profitable, 25-metro standard</w:t>
            </w:r>
          </w:p>
        </w:tc>
      </w:tr>
    </w:tbl>
    <w:p>
      <w:pPr>
        <w:pStyle w:val="Heading2"/>
      </w:pPr>
      <w:bookmarkStart w:id="33" w:name="risks-mitigations"/>
      <w:r>
        <w:t xml:space="preserve">10. Risks &amp; mitigations</w:t>
      </w:r>
      <w:bookmarkEnd w:id="33"/>
    </w:p>
    <w:tbl>
      <w:tblPr>
        <w:tblStyle w:val="Table"/>
        <w:tblW w:type="pct" w:w="5000.0"/>
        <w:tblBorders>
          <w:top w:val="single" w:sz="4" w:color="CCCCCC"/>
          <w:bottom w:val="single" w:sz="4" w:color="CCCCCC"/>
          <w:insideH w:val="single" w:sz="4" w:color="CCCCCC"/>
        </w:tblBorders>
        <w:tblLook w:firstRow="1"/>
      </w:tblPr>
      <w:tblGrid>
        <w:gridCol w:w="3960"/>
        <w:gridCol w:w="3960"/>
      </w:tblGrid>
      <w:tr>
        <w:trPr>
          <w:cnfStyle w:firstRow="1"/>
        </w:trPr>
        <w:tc>
          <w:tcPr>
            <w:tcBorders>
              <w:bottom w:val="single"/>
            </w:tcBorders>
            <w:vAlign w:val="bottom"/>
          </w:tcPr>
          <w:p>
            <w:pPr>
              <w:pStyle w:val="Compact"/>
              <w:jc w:val="left"/>
            </w:pPr>
            <w:r>
              <w:rPr>
                <w:rFonts w:ascii="Helvetica Neue" w:hAnsi="Helvetica Neue"/>
              </w:rPr>
              <w:t xml:space="preserve">Risk</w:t>
            </w:r>
          </w:p>
        </w:tc>
        <w:tc>
          <w:tcPr>
            <w:tcBorders>
              <w:bottom w:val="single"/>
            </w:tcBorders>
            <w:vAlign w:val="bottom"/>
          </w:tcPr>
          <w:p>
            <w:pPr>
              <w:pStyle w:val="Compact"/>
              <w:jc w:val="left"/>
            </w:pPr>
            <w:r>
              <w:rPr>
                <w:rFonts w:ascii="Helvetica Neue" w:hAnsi="Helvetica Neue"/>
              </w:rPr>
              <w:t xml:space="preserve">Mitigation</w:t>
            </w:r>
          </w:p>
        </w:tc>
      </w:tr>
      <w:tr>
        <w:tc>
          <w:p>
            <w:pPr>
              <w:pStyle w:val="Compact"/>
              <w:jc w:val="left"/>
            </w:pPr>
            <w:r>
              <w:rPr>
                <w:rFonts w:ascii="Helvetica Neue" w:hAnsi="Helvetica Neue"/>
                <w:b/>
              </w:rPr>
              <w:t xml:space="preserve">Estimation accuracy is physics-bound</w:t>
            </w:r>
            <w:r>
              <w:rPr>
                <w:rFonts w:ascii="Helvetica Neue" w:hAnsi="Helvetica Neue"/>
              </w:rPr>
              <w:t xml:space="preserve"> </w:t>
            </w:r>
            <w:r>
              <w:rPr>
                <w:rFonts w:ascii="Helvetica Neue" w:hAnsi="Helvetica Neue"/>
              </w:rPr>
              <w:t xml:space="preserve">(~16–25% photo floor)</w:t>
            </w:r>
          </w:p>
        </w:tc>
        <w:tc>
          <w:p>
            <w:pPr>
              <w:pStyle w:val="Compact"/>
              <w:jc w:val="left"/>
            </w:pPr>
            <w:r>
              <w:rPr>
                <w:rFonts w:ascii="Helvetica Neue" w:hAnsi="Helvetica Neue"/>
              </w:rPr>
              <w:t xml:space="preserve">Lead with menu text (models match nutritionists there); RAG-ground in USDA FNDDS (grounding cuts error 63–83%); surface ± ranges; user correction built into every surface; never marketed as clinical</w:t>
            </w:r>
          </w:p>
        </w:tc>
      </w:tr>
      <w:tr>
        <w:tc>
          <w:p>
            <w:pPr>
              <w:pStyle w:val="Compact"/>
              <w:jc w:val="left"/>
            </w:pPr>
            <w:r>
              <w:rPr>
                <w:rFonts w:ascii="Helvetica Neue" w:hAnsi="Helvetica Neue"/>
                <w:b/>
              </w:rPr>
              <w:t xml:space="preserve">Retention kills this category</w:t>
            </w:r>
          </w:p>
        </w:tc>
        <w:tc>
          <w:p>
            <w:pPr>
              <w:pStyle w:val="Compact"/>
              <w:jc w:val="left"/>
            </w:pPr>
            <w:r>
              <w:rPr>
                <w:rFonts w:ascii="Helvetica Neue" w:hAnsi="Helvetica Neue"/>
              </w:rPr>
              <w:t xml:space="preserve">Plan-ahead is a decision habit, not a logging chore; order-confirmed logging removes the diary; calibration gives a compounding reason to stay; wearable sync (Google Health/Fitbit) extends the habit into an ecosystem the user already checks daily, without a second app to open; annual plans ~halve churn</w:t>
            </w:r>
          </w:p>
        </w:tc>
      </w:tr>
      <w:tr>
        <w:tc>
          <w:p>
            <w:pPr>
              <w:pStyle w:val="Compact"/>
              <w:jc w:val="left"/>
            </w:pPr>
            <w:r>
              <w:rPr>
                <w:rFonts w:ascii="Helvetica Neue" w:hAnsi="Helvetica Neue"/>
                <w:b/>
              </w:rPr>
              <w:t xml:space="preserve">Two-sided cold start</w:t>
            </w:r>
          </w:p>
        </w:tc>
        <w:tc>
          <w:p>
            <w:pPr>
              <w:pStyle w:val="Compact"/>
              <w:jc w:val="left"/>
            </w:pPr>
            <w:r>
              <w:rPr>
                <w:rFonts w:ascii="Helvetica Neue" w:hAnsi="Helvetica Neue"/>
              </w:rPr>
              <w:t xml:space="preserve">Published-disclosure seeding gives day-one chain coverage free; density beats breadth; the terminal gives independents value (orders + flags) before any fee</w:t>
            </w:r>
          </w:p>
        </w:tc>
      </w:tr>
      <w:tr>
        <w:tc>
          <w:p>
            <w:pPr>
              <w:pStyle w:val="Compact"/>
              <w:jc w:val="left"/>
            </w:pPr>
            <w:r>
              <w:rPr>
                <w:rFonts w:ascii="Helvetica Neue" w:hAnsi="Helvetica Neue"/>
                <w:b/>
              </w:rPr>
              <w:t xml:space="preserve">GLP-1 substitution</w:t>
            </w:r>
          </w:p>
        </w:tc>
        <w:tc>
          <w:p>
            <w:pPr>
              <w:pStyle w:val="Compact"/>
              <w:jc w:val="left"/>
            </w:pPr>
            <w:r>
              <w:rPr>
                <w:rFonts w:ascii="Helvetica Neue" w:hAnsi="Helvetica Neue"/>
              </w:rPr>
              <w:t xml:space="preserve">Position as the eating-out companion</w:t>
            </w:r>
            <w:r>
              <w:rPr>
                <w:rFonts w:ascii="Helvetica Neue" w:hAnsi="Helvetica Neue"/>
              </w:rPr>
              <w:t xml:space="preserve"> </w:t>
            </w:r>
            <w:r>
              <w:rPr>
                <w:rFonts w:ascii="Helvetica Neue" w:hAnsi="Helvetica Neue"/>
                <w:i/>
              </w:rPr>
              <w:t xml:space="preserve">for</w:t>
            </w:r>
            <w:r>
              <w:rPr>
                <w:rFonts w:ascii="Helvetica Neue" w:hAnsi="Helvetica Neue"/>
              </w:rPr>
              <w:t xml:space="preserve"> </w:t>
            </w:r>
            <w:r>
              <w:rPr>
                <w:rFonts w:ascii="Helvetica Neue" w:hAnsi="Helvetica Neue"/>
              </w:rPr>
              <w:t xml:space="preserve">GLP-1 users — the angle funding the category</w:t>
            </w:r>
          </w:p>
        </w:tc>
      </w:tr>
      <w:tr>
        <w:tc>
          <w:p>
            <w:pPr>
              <w:pStyle w:val="Compact"/>
              <w:jc w:val="left"/>
            </w:pPr>
            <w:r>
              <w:rPr>
                <w:rFonts w:ascii="Helvetica Neue" w:hAnsi="Helvetica Neue"/>
                <w:b/>
              </w:rPr>
              <w:t xml:space="preserve">Incumbent consolidation</w:t>
            </w:r>
            <w:r>
              <w:rPr>
                <w:rFonts w:ascii="Helvetica Neue" w:hAnsi="Helvetica Neue"/>
              </w:rPr>
              <w:t xml:space="preserve"> </w:t>
            </w:r>
            <w:r>
              <w:rPr>
                <w:rFonts w:ascii="Helvetica Neue" w:hAnsi="Helvetica Neue"/>
              </w:rPr>
              <w:t xml:space="preserve">(MFP × Cal AI)</w:t>
            </w:r>
          </w:p>
        </w:tc>
        <w:tc>
          <w:p>
            <w:pPr>
              <w:pStyle w:val="Compact"/>
              <w:jc w:val="left"/>
            </w:pPr>
            <w:r>
              <w:rPr>
                <w:rFonts w:ascii="Helvetica Neue" w:hAnsi="Helvetica Neue"/>
              </w:rPr>
              <w:t xml:space="preserve">Moat is the verified-data + correction + ground-truth graph, not the model</w:t>
            </w:r>
          </w:p>
        </w:tc>
      </w:tr>
      <w:tr>
        <w:tc>
          <w:p>
            <w:pPr>
              <w:pStyle w:val="Compact"/>
              <w:jc w:val="left"/>
            </w:pPr>
            <w:r>
              <w:rPr>
                <w:rFonts w:ascii="Helvetica Neue" w:hAnsi="Helvetica Neue"/>
                <w:b/>
              </w:rPr>
              <w:t xml:space="preserve">Trust/integrity failure would be fatal</w:t>
            </w:r>
          </w:p>
        </w:tc>
        <w:tc>
          <w:p>
            <w:pPr>
              <w:pStyle w:val="Compact"/>
              <w:jc w:val="left"/>
            </w:pPr>
            <w:r>
              <w:rPr>
                <w:rFonts w:ascii="Helvetica Neue" w:hAnsi="Helvetica Neue"/>
              </w:rPr>
              <w:t xml:space="preserve">Governance is product: sponsored-scoring separation is categorical; corrections versioned and public; simulated states labeled; the</w:t>
            </w:r>
            <w:r>
              <w:rPr>
                <w:rFonts w:ascii="Helvetica Neue" w:hAnsi="Helvetica Neue"/>
              </w:rPr>
              <w:t xml:space="preserve"> </w:t>
            </w:r>
            <w:r>
              <w:rPr>
                <w:rFonts w:ascii="Helvetica Neue" w:hAnsi="Helvetica Neue"/>
                <w:rStyle w:val="VerbatimChar"/>
              </w:rPr>
              <w:t xml:space="preserve">/impact</w:t>
            </w:r>
            <w:r>
              <w:rPr>
                <w:rFonts w:ascii="Helvetica Neue" w:hAnsi="Helvetica Neue"/>
              </w:rPr>
              <w:t xml:space="preserve"> </w:t>
            </w:r>
            <w:r>
              <w:rPr>
                <w:rFonts w:ascii="Helvetica Neue" w:hAnsi="Helvetica Neue"/>
              </w:rPr>
              <w:t xml:space="preserve">no-unrecorded-claims commitment</w:t>
            </w:r>
          </w:p>
        </w:tc>
      </w:tr>
      <w:tr>
        <w:tc>
          <w:p>
            <w:pPr>
              <w:pStyle w:val="Compact"/>
              <w:jc w:val="left"/>
            </w:pPr>
            <w:r>
              <w:rPr>
                <w:rFonts w:ascii="Helvetica Neue" w:hAnsi="Helvetica Neue"/>
                <w:b/>
              </w:rPr>
              <w:t xml:space="preserve">Policy risk on B2B2C</w:t>
            </w:r>
          </w:p>
        </w:tc>
        <w:tc>
          <w:p>
            <w:pPr>
              <w:pStyle w:val="Compact"/>
              <w:jc w:val="left"/>
            </w:pPr>
            <w:r>
              <w:rPr>
                <w:rFonts w:ascii="Helvetica Neue" w:hAnsi="Helvetica Neue"/>
              </w:rPr>
              <w:t xml:space="preserve">Anchor on commercial MNT; Medicaid expansion as optionality</w:t>
            </w:r>
          </w:p>
        </w:tc>
      </w:tr>
    </w:tbl>
    <w:p>
      <w:pPr>
        <w:pStyle w:val="Heading2"/>
      </w:pPr>
      <w:bookmarkStart w:id="34" w:name="national-impact"/>
      <w:r>
        <w:t xml:space="preserve">11. National impact</w:t>
      </w:r>
      <w:bookmarkEnd w:id="34"/>
    </w:p>
    <w:p>
      <w:pPr>
        <w:pStyle w:val="FirstParagraph"/>
      </w:pPr>
      <w:r>
        <w:rPr>
          <w:i/>
        </w:rPr>
        <w:t xml:space="preserve">This section states the founders’ case factually; it draws no legal conclusions. All forward figures are projections from the planning model, labeled as such.</w:t>
      </w:r>
    </w:p>
    <w:p>
      <w:pPr>
        <w:pStyle w:val="BodyText"/>
      </w:pPr>
      <w:r>
        <w:rPr>
          <w:b/>
        </w:rPr>
        <w:t xml:space="preserve">11.1 Contributions to the economy.</w:t>
      </w:r>
      <w:r>
        <w:t xml:space="preserve"> </w:t>
      </w:r>
      <w:r>
        <w:t xml:space="preserve">Diet-related disease costs the U.S. ~$334B/yr in direct medical spending (CDC-cited); the away-from-home channel — 58.5% of food spending (USDA ERS) — is where those diets are decided, yet the only federal instrument there (chain calorie labeling) shifts intake by ~24 kcal/order (peer-reviewed). Forkcast’s contribution is infrastructure: turning any menu, chain or independent, into trustworthy per-dish nutrition at the moment of decision. Each point of improvement in restaurant-meal choices compounds across ~$1.5T of annual away-from-home spending.</w:t>
      </w:r>
    </w:p>
    <w:p>
      <w:pPr>
        <w:pStyle w:val="BodyText"/>
      </w:pPr>
      <w:r>
        <w:rPr>
          <w:b/>
        </w:rPr>
        <w:t xml:space="preserve">11.2 Job creation.</w:t>
      </w:r>
      <w:r>
        <w:t xml:space="preserve"> </w:t>
      </w:r>
      <w:r>
        <w:t xml:space="preserve">Direct: the personnel plan below projects</w:t>
      </w:r>
      <w:r>
        <w:t xml:space="preserve"> </w:t>
      </w:r>
      <w:r>
        <w:rPr>
          <w:b/>
        </w:rPr>
        <w:t xml:space="preserve">5 → 62 U.S. employees across five years</w:t>
      </w:r>
      <w:r>
        <w:t xml:space="preserve"> </w:t>
      </w:r>
      <w:r>
        <w:t xml:space="preserve">(engineering, nutrition data operations, market launch teams — Boston first, then the CDC’s highest-prevalence regions). Indirect: every Verified Partner restaurant gains a free digital storefront, order channel, and menu-data capability; the model projects ~9,000 partner restaurants by Y5, overwhelmingly independent small businesses, each keeping 94% of Forkcast-originated order revenue.</w:t>
      </w:r>
    </w:p>
    <w:p>
      <w:pPr>
        <w:pStyle w:val="BodyText"/>
      </w:pPr>
      <w:r>
        <w:rPr>
          <w:b/>
        </w:rPr>
        <w:t xml:space="preserve">11.3 Support for small businesses.</w:t>
      </w:r>
      <w:r>
        <w:t xml:space="preserve"> </w:t>
      </w:r>
      <w:r>
        <w:t xml:space="preserve">Federal labeling rules cover chains with 20+ locations; the independent majority is priced out of nutrition analysis (lab panels run ~$500–1,000/dish). Forkcast gives independents that capability free — menu digitization, per-dish nutrition, verification tools, a corrections ledger — and charges only a 6% fee on orders it originates, versus the 15–30% delivery marketplaces charge. The pilot’s partner agreements and correction logs are designed to evidence this support, restaurant by restaurant.</w:t>
      </w:r>
    </w:p>
    <w:p>
      <w:pPr>
        <w:pStyle w:val="BodyText"/>
      </w:pPr>
      <w:r>
        <w:rPr>
          <w:b/>
        </w:rPr>
        <w:t xml:space="preserve">11.4 Future impact.</w:t>
      </w:r>
      <w:r>
        <w:t xml:space="preserve"> </w:t>
      </w:r>
      <w:r>
        <w:t xml:space="preserve">The expansion sequence deliberately targets the regions federal surveillance identifies as most affected (2024 BRFSS: Midwest 35.9% adult obesity, South 34.5%; 19 states ≥35%). Beyond five years, the same provenance-carrying dataset supports covered-benefit nutrition programs (B2B2C leg), research access to real-world restaurant-eating data, and a correction-governed standard other platforms can adopt. The endeavor is job-creating rather than job-taking, and its methods — collection protocol, provenance tiers, pre-registered metrics — are publishable infrastructure.</w:t>
      </w:r>
    </w:p>
    <w:p>
      <w:pPr>
        <w:pStyle w:val="BodyText"/>
      </w:pPr>
      <w:r>
        <w:rPr>
          <w:b/>
        </w:rPr>
        <w:t xml:space="preserve">Evidence integrity.</w:t>
      </w:r>
      <w:r>
        <w:t xml:space="preserve"> </w:t>
      </w:r>
      <w:r>
        <w:t xml:space="preserve">No fabricated users, restaurants, partners, outcomes, revenue, ratings, or health claims — enforced in the product itself (prototype stamps, simulation labels, demo-payment disclosures, confidence tiers).</w:t>
      </w:r>
    </w:p>
    <w:p>
      <w:pPr>
        <w:pStyle w:val="Heading2"/>
      </w:pPr>
      <w:bookmarkStart w:id="35" w:name="organization-people"/>
      <w:r>
        <w:t xml:space="preserve">12. Organization &amp; people</w:t>
      </w:r>
      <w:bookmarkEnd w:id="35"/>
    </w:p>
    <w:p>
      <w:pPr>
        <w:pStyle w:val="FirstParagraph"/>
      </w:pPr>
      <w:r>
        <w:rPr>
          <w:b/>
        </w:rPr>
        <w:t xml:space="preserve">12.1 Organizational structure.</w:t>
      </w:r>
      <w:r>
        <w:t xml:space="preserve"> </w:t>
      </w:r>
      <w:r>
        <w:t xml:space="preserve">Flat by design through Y2, then three functional pods reporting to the co-founders:</w:t>
      </w:r>
    </w:p>
    <w:p>
      <w:pPr>
        <w:pStyle w:val="SourceCode"/>
      </w:pPr>
      <w:r>
        <w:rPr>
          <w:rFonts w:ascii="Courier New" w:hAnsi="Courier New"/>
          <w:rStyle w:val="VerbatimChar"/>
        </w:rPr>
        <w:t xml:space="preserve">                    Co-founders</w:t>
      </w:r>
      <w:r>
        <w:rPr>
          <w:rFonts w:ascii="Courier New" w:hAnsi="Courier New"/>
        </w:rPr>
        <w:br/>
      </w:r>
      <w:r>
        <w:rPr>
          <w:rFonts w:ascii="Courier New" w:hAnsi="Courier New"/>
          <w:rStyle w:val="VerbatimChar"/>
        </w:rPr>
        <w:t xml:space="preserve">        (Product &amp; Engineering | Strategy &amp; Partnerships)</w:t>
      </w:r>
      <w:r>
        <w:rPr>
          <w:rFonts w:ascii="Courier New" w:hAnsi="Courier New"/>
        </w:rPr>
        <w:br/>
      </w:r>
      <w:r>
        <w:rPr>
          <w:rFonts w:ascii="Courier New" w:hAnsi="Courier New"/>
          <w:rStyle w:val="VerbatimChar"/>
        </w:rPr>
        <w:t xml:space="preserve">                         │</w:t>
      </w:r>
      <w:r>
        <w:rPr>
          <w:rFonts w:ascii="Courier New" w:hAnsi="Courier New"/>
        </w:rPr>
        <w:br/>
      </w:r>
      <w:r>
        <w:rPr>
          <w:rFonts w:ascii="Courier New" w:hAnsi="Courier New"/>
          <w:rStyle w:val="VerbatimChar"/>
        </w:rPr>
        <w:t xml:space="preserve">      ┌──────────────────┼──────────────────────┐</w:t>
      </w:r>
      <w:r>
        <w:rPr>
          <w:rFonts w:ascii="Courier New" w:hAnsi="Courier New"/>
        </w:rPr>
        <w:br/>
      </w:r>
      <w:r>
        <w:rPr>
          <w:rFonts w:ascii="Courier New" w:hAnsi="Courier New"/>
          <w:rStyle w:val="VerbatimChar"/>
        </w:rPr>
        <w:t xml:space="preserve"> Product &amp; Eng      Data &amp; Nutrition       Market &amp; Partnerships</w:t>
      </w:r>
      <w:r>
        <w:rPr>
          <w:rFonts w:ascii="Courier New" w:hAnsi="Courier New"/>
        </w:rPr>
        <w:br/>
      </w:r>
      <w:r>
        <w:rPr>
          <w:rFonts w:ascii="Courier New" w:hAnsi="Courier New"/>
          <w:rStyle w:val="VerbatimChar"/>
        </w:rPr>
        <w:t xml:space="preserve"> web · mobile · ML  nutrition ops · RD     city launch · partner success</w:t>
      </w:r>
      <w:r>
        <w:rPr>
          <w:rFonts w:ascii="Courier New" w:hAnsi="Courier New"/>
        </w:rPr>
        <w:br/>
      </w:r>
      <w:r>
        <w:rPr>
          <w:rFonts w:ascii="Courier New" w:hAnsi="Courier New"/>
          <w:rStyle w:val="VerbatimChar"/>
        </w:rPr>
        <w:t xml:space="preserve">                    corrections QA          support · co-marketing</w:t>
      </w:r>
    </w:p>
    <w:p>
      <w:pPr>
        <w:pStyle w:val="FirstParagraph"/>
      </w:pPr>
      <w:r>
        <w:t xml:space="preserve">G&amp;A (finance, people ops) stays fractional/outsourced until Y3. Every pod owns a number: Eng owns activation and estimate-correction rate, Data owns provenance coverage, Market owns partner density and CAC.</w:t>
      </w:r>
    </w:p>
    <w:p>
      <w:pPr>
        <w:pStyle w:val="BodyText"/>
      </w:pPr>
      <w:r>
        <w:rPr>
          <w:b/>
        </w:rPr>
        <w:t xml:space="preserve">12.2 Management team.</w:t>
      </w:r>
      <w:r>
        <w:t xml:space="preserve"> </w:t>
      </w:r>
      <w:r>
        <w:t xml:space="preserve">Two co-founders: one leading product and engineering (builder of the product to date), one leading strategy, market validation, and regulatory-economic analysis. Founder credentials are shared with investors directly. Advisory targets: a registered dietitian (clinical credibility + B2B2C), a fast-casual operator, and a digital-health payer-contracting advisor.</w:t>
      </w:r>
    </w:p>
    <w:p>
      <w:pPr>
        <w:pStyle w:val="BodyText"/>
      </w:pPr>
      <w:r>
        <w:rPr>
          <w:b/>
        </w:rPr>
        <w:t xml:space="preserve">12.3 Personnel plan by year</w:t>
      </w:r>
      <w:r>
        <w:t xml:space="preserve"> </w:t>
      </w:r>
      <w:r>
        <w:rPr>
          <w:i/>
        </w:rPr>
        <w:t xml:space="preserve">(projection; headcount at year end)</w:t>
      </w:r>
    </w:p>
    <w:tbl>
      <w:tblPr>
        <w:tblStyle w:val="Table"/>
        <w:tblW w:type="pct" w:w="0.0"/>
        <w:tblBorders>
          <w:top w:val="single" w:sz="4" w:color="CCCCCC"/>
          <w:bottom w:val="single" w:sz="4" w:color="CCCCCC"/>
          <w:insideH w:val="single" w:sz="4" w:color="CCCCCC"/>
        </w:tblBorders>
        <w:tblLook w:firstRow="1"/>
      </w:tblPr>
      <w:tblGrid/>
      <w:tr>
        <w:trPr>
          <w:cnfStyle w:firstRow="1"/>
        </w:trPr>
        <w:tc>
          <w:tcPr>
            <w:tcBorders>
              <w:bottom w:val="single"/>
            </w:tcBorders>
            <w:vAlign w:val="bottom"/>
          </w:tcPr>
          <w:p>
            <w:pPr>
              <w:pStyle w:val="Compact"/>
              <w:jc w:val="left"/>
            </w:pPr>
            <w:r>
              <w:rPr>
                <w:rFonts w:ascii="Helvetica Neue" w:hAnsi="Helvetica Neue"/>
              </w:rPr>
              <w:t xml:space="preserve">Function</w:t>
            </w:r>
          </w:p>
        </w:tc>
        <w:tc>
          <w:tcPr>
            <w:tcBorders>
              <w:bottom w:val="single"/>
            </w:tcBorders>
            <w:vAlign w:val="bottom"/>
          </w:tcPr>
          <w:p>
            <w:pPr>
              <w:pStyle w:val="Compact"/>
              <w:jc w:val="right"/>
            </w:pPr>
            <w:r>
              <w:rPr>
                <w:rFonts w:ascii="Helvetica Neue" w:hAnsi="Helvetica Neue"/>
              </w:rPr>
              <w:t xml:space="preserve">Y1</w:t>
            </w:r>
          </w:p>
        </w:tc>
        <w:tc>
          <w:tcPr>
            <w:tcBorders>
              <w:bottom w:val="single"/>
            </w:tcBorders>
            <w:vAlign w:val="bottom"/>
          </w:tcPr>
          <w:p>
            <w:pPr>
              <w:pStyle w:val="Compact"/>
              <w:jc w:val="right"/>
            </w:pPr>
            <w:r>
              <w:rPr>
                <w:rFonts w:ascii="Helvetica Neue" w:hAnsi="Helvetica Neue"/>
              </w:rPr>
              <w:t xml:space="preserve">Y2</w:t>
            </w:r>
          </w:p>
        </w:tc>
        <w:tc>
          <w:tcPr>
            <w:tcBorders>
              <w:bottom w:val="single"/>
            </w:tcBorders>
            <w:vAlign w:val="bottom"/>
          </w:tcPr>
          <w:p>
            <w:pPr>
              <w:pStyle w:val="Compact"/>
              <w:jc w:val="right"/>
            </w:pPr>
            <w:r>
              <w:rPr>
                <w:rFonts w:ascii="Helvetica Neue" w:hAnsi="Helvetica Neue"/>
              </w:rPr>
              <w:t xml:space="preserve">Y3</w:t>
            </w:r>
          </w:p>
        </w:tc>
        <w:tc>
          <w:tcPr>
            <w:tcBorders>
              <w:bottom w:val="single"/>
            </w:tcBorders>
            <w:vAlign w:val="bottom"/>
          </w:tcPr>
          <w:p>
            <w:pPr>
              <w:pStyle w:val="Compact"/>
              <w:jc w:val="right"/>
            </w:pPr>
            <w:r>
              <w:rPr>
                <w:rFonts w:ascii="Helvetica Neue" w:hAnsi="Helvetica Neue"/>
              </w:rPr>
              <w:t xml:space="preserve">Y4</w:t>
            </w:r>
          </w:p>
        </w:tc>
        <w:tc>
          <w:tcPr>
            <w:tcBorders>
              <w:bottom w:val="single"/>
            </w:tcBorders>
            <w:vAlign w:val="bottom"/>
          </w:tcPr>
          <w:p>
            <w:pPr>
              <w:pStyle w:val="Compact"/>
              <w:jc w:val="right"/>
            </w:pPr>
            <w:r>
              <w:rPr>
                <w:rFonts w:ascii="Helvetica Neue" w:hAnsi="Helvetica Neue"/>
              </w:rPr>
              <w:t xml:space="preserve">Y5</w:t>
            </w:r>
          </w:p>
        </w:tc>
      </w:tr>
      <w:tr>
        <w:tc>
          <w:p>
            <w:pPr>
              <w:pStyle w:val="Compact"/>
              <w:jc w:val="left"/>
            </w:pPr>
            <w:r>
              <w:rPr>
                <w:rFonts w:ascii="Helvetica Neue" w:hAnsi="Helvetica Neue"/>
              </w:rPr>
              <w:t xml:space="preserve">Founders / management</w:t>
            </w:r>
          </w:p>
        </w:tc>
        <w:tc>
          <w:p>
            <w:pPr>
              <w:pStyle w:val="Compact"/>
              <w:jc w:val="right"/>
            </w:pPr>
            <w:r>
              <w:rPr>
                <w:rFonts w:ascii="Helvetica Neue" w:hAnsi="Helvetica Neue"/>
              </w:rPr>
              <w:t xml:space="preserve">2</w:t>
            </w:r>
          </w:p>
        </w:tc>
        <w:tc>
          <w:p>
            <w:pPr>
              <w:pStyle w:val="Compact"/>
              <w:jc w:val="right"/>
            </w:pPr>
            <w:r>
              <w:rPr>
                <w:rFonts w:ascii="Helvetica Neue" w:hAnsi="Helvetica Neue"/>
              </w:rPr>
              <w:t xml:space="preserve">2</w:t>
            </w:r>
          </w:p>
        </w:tc>
        <w:tc>
          <w:p>
            <w:pPr>
              <w:pStyle w:val="Compact"/>
              <w:jc w:val="right"/>
            </w:pPr>
            <w:r>
              <w:rPr>
                <w:rFonts w:ascii="Helvetica Neue" w:hAnsi="Helvetica Neue"/>
              </w:rPr>
              <w:t xml:space="preserve">3</w:t>
            </w:r>
          </w:p>
        </w:tc>
        <w:tc>
          <w:p>
            <w:pPr>
              <w:pStyle w:val="Compact"/>
              <w:jc w:val="right"/>
            </w:pPr>
            <w:r>
              <w:rPr>
                <w:rFonts w:ascii="Helvetica Neue" w:hAnsi="Helvetica Neue"/>
              </w:rPr>
              <w:t xml:space="preserve">4</w:t>
            </w:r>
          </w:p>
        </w:tc>
        <w:tc>
          <w:p>
            <w:pPr>
              <w:pStyle w:val="Compact"/>
              <w:jc w:val="right"/>
            </w:pPr>
            <w:r>
              <w:rPr>
                <w:rFonts w:ascii="Helvetica Neue" w:hAnsi="Helvetica Neue"/>
              </w:rPr>
              <w:t xml:space="preserve">5</w:t>
            </w:r>
          </w:p>
        </w:tc>
      </w:tr>
      <w:tr>
        <w:tc>
          <w:p>
            <w:pPr>
              <w:pStyle w:val="Compact"/>
              <w:jc w:val="left"/>
            </w:pPr>
            <w:r>
              <w:rPr>
                <w:rFonts w:ascii="Helvetica Neue" w:hAnsi="Helvetica Neue"/>
              </w:rPr>
              <w:t xml:space="preserve">Engineering (web, mobile, ML, data)</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5</w:t>
            </w:r>
          </w:p>
        </w:tc>
        <w:tc>
          <w:p>
            <w:pPr>
              <w:pStyle w:val="Compact"/>
              <w:jc w:val="right"/>
            </w:pPr>
            <w:r>
              <w:rPr>
                <w:rFonts w:ascii="Helvetica Neue" w:hAnsi="Helvetica Neue"/>
              </w:rPr>
              <w:t xml:space="preserve">9</w:t>
            </w:r>
          </w:p>
        </w:tc>
        <w:tc>
          <w:p>
            <w:pPr>
              <w:pStyle w:val="Compact"/>
              <w:jc w:val="right"/>
            </w:pPr>
            <w:r>
              <w:rPr>
                <w:rFonts w:ascii="Helvetica Neue" w:hAnsi="Helvetica Neue"/>
              </w:rPr>
              <w:t xml:space="preserve">14</w:t>
            </w:r>
          </w:p>
        </w:tc>
        <w:tc>
          <w:p>
            <w:pPr>
              <w:pStyle w:val="Compact"/>
              <w:jc w:val="right"/>
            </w:pPr>
            <w:r>
              <w:rPr>
                <w:rFonts w:ascii="Helvetica Neue" w:hAnsi="Helvetica Neue"/>
              </w:rPr>
              <w:t xml:space="preserve">20</w:t>
            </w:r>
          </w:p>
        </w:tc>
      </w:tr>
      <w:tr>
        <w:tc>
          <w:p>
            <w:pPr>
              <w:pStyle w:val="Compact"/>
              <w:jc w:val="left"/>
            </w:pPr>
            <w:r>
              <w:rPr>
                <w:rFonts w:ascii="Helvetica Neue" w:hAnsi="Helvetica Neue"/>
              </w:rPr>
              <w:t xml:space="preserve">Nutrition data ops + RD</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2</w:t>
            </w:r>
          </w:p>
        </w:tc>
        <w:tc>
          <w:p>
            <w:pPr>
              <w:pStyle w:val="Compact"/>
              <w:jc w:val="right"/>
            </w:pPr>
            <w:r>
              <w:rPr>
                <w:rFonts w:ascii="Helvetica Neue" w:hAnsi="Helvetica Neue"/>
              </w:rPr>
              <w:t xml:space="preserve">4</w:t>
            </w:r>
          </w:p>
        </w:tc>
        <w:tc>
          <w:p>
            <w:pPr>
              <w:pStyle w:val="Compact"/>
              <w:jc w:val="right"/>
            </w:pPr>
            <w:r>
              <w:rPr>
                <w:rFonts w:ascii="Helvetica Neue" w:hAnsi="Helvetica Neue"/>
              </w:rPr>
              <w:t xml:space="preserve">7</w:t>
            </w:r>
          </w:p>
        </w:tc>
        <w:tc>
          <w:p>
            <w:pPr>
              <w:pStyle w:val="Compact"/>
              <w:jc w:val="right"/>
            </w:pPr>
            <w:r>
              <w:rPr>
                <w:rFonts w:ascii="Helvetica Neue" w:hAnsi="Helvetica Neue"/>
              </w:rPr>
              <w:t xml:space="preserve">11</w:t>
            </w:r>
          </w:p>
        </w:tc>
      </w:tr>
      <w:tr>
        <w:tc>
          <w:p>
            <w:pPr>
              <w:pStyle w:val="Compact"/>
              <w:jc w:val="left"/>
            </w:pPr>
            <w:r>
              <w:rPr>
                <w:rFonts w:ascii="Helvetica Neue" w:hAnsi="Helvetica Neue"/>
              </w:rPr>
              <w:t xml:space="preserve">Market launch &amp; partner success</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2</w:t>
            </w:r>
          </w:p>
        </w:tc>
        <w:tc>
          <w:p>
            <w:pPr>
              <w:pStyle w:val="Compact"/>
              <w:jc w:val="right"/>
            </w:pPr>
            <w:r>
              <w:rPr>
                <w:rFonts w:ascii="Helvetica Neue" w:hAnsi="Helvetica Neue"/>
              </w:rPr>
              <w:t xml:space="preserve">6</w:t>
            </w:r>
          </w:p>
        </w:tc>
        <w:tc>
          <w:p>
            <w:pPr>
              <w:pStyle w:val="Compact"/>
              <w:jc w:val="right"/>
            </w:pPr>
            <w:r>
              <w:rPr>
                <w:rFonts w:ascii="Helvetica Neue" w:hAnsi="Helvetica Neue"/>
              </w:rPr>
              <w:t xml:space="preserve">11</w:t>
            </w:r>
          </w:p>
        </w:tc>
        <w:tc>
          <w:p>
            <w:pPr>
              <w:pStyle w:val="Compact"/>
              <w:jc w:val="right"/>
            </w:pPr>
            <w:r>
              <w:rPr>
                <w:rFonts w:ascii="Helvetica Neue" w:hAnsi="Helvetica Neue"/>
              </w:rPr>
              <w:t xml:space="preserve">18</w:t>
            </w:r>
          </w:p>
        </w:tc>
      </w:tr>
      <w:tr>
        <w:tc>
          <w:p>
            <w:pPr>
              <w:pStyle w:val="Compact"/>
              <w:jc w:val="left"/>
            </w:pPr>
            <w:r>
              <w:rPr>
                <w:rFonts w:ascii="Helvetica Neue" w:hAnsi="Helvetica Neue"/>
              </w:rPr>
              <w:t xml:space="preserve">Support &amp; community</w:t>
            </w:r>
          </w:p>
        </w:tc>
        <w:tc>
          <w:p>
            <w:pPr>
              <w:pStyle w:val="Compact"/>
              <w:jc w:val="right"/>
            </w:pPr>
            <w:r>
              <w:rPr>
                <w:rFonts w:ascii="Helvetica Neue" w:hAnsi="Helvetica Neue"/>
              </w:rPr>
              <w:t xml:space="preserve">–</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3</w:t>
            </w:r>
          </w:p>
        </w:tc>
        <w:tc>
          <w:p>
            <w:pPr>
              <w:pStyle w:val="Compact"/>
              <w:jc w:val="right"/>
            </w:pPr>
            <w:r>
              <w:rPr>
                <w:rFonts w:ascii="Helvetica Neue" w:hAnsi="Helvetica Neue"/>
              </w:rPr>
              <w:t xml:space="preserve">5</w:t>
            </w:r>
          </w:p>
        </w:tc>
      </w:tr>
      <w:tr>
        <w:tc>
          <w:p>
            <w:pPr>
              <w:pStyle w:val="Compact"/>
              <w:jc w:val="left"/>
            </w:pPr>
            <w:r>
              <w:rPr>
                <w:rFonts w:ascii="Helvetica Neue" w:hAnsi="Helvetica Neue"/>
              </w:rPr>
              <w:t xml:space="preserve">G&amp;A (finance, people)</w:t>
            </w:r>
          </w:p>
        </w:tc>
        <w:tc>
          <w:p>
            <w:pPr>
              <w:pStyle w:val="Compact"/>
              <w:jc w:val="right"/>
            </w:pPr>
            <w:r>
              <w:rPr>
                <w:rFonts w:ascii="Helvetica Neue" w:hAnsi="Helvetica Neue"/>
              </w:rPr>
              <w:t xml:space="preserve">–</w:t>
            </w:r>
          </w:p>
        </w:tc>
        <w:tc>
          <w:p>
            <w:pPr>
              <w:pStyle w:val="Compact"/>
              <w:jc w:val="right"/>
            </w:pPr>
            <w:r>
              <w:rPr>
                <w:rFonts w:ascii="Helvetica Neue" w:hAnsi="Helvetica Neue"/>
              </w:rPr>
              <w:t xml:space="preserve">–</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1</w:t>
            </w:r>
          </w:p>
        </w:tc>
        <w:tc>
          <w:p>
            <w:pPr>
              <w:pStyle w:val="Compact"/>
              <w:jc w:val="right"/>
            </w:pPr>
            <w:r>
              <w:rPr>
                <w:rFonts w:ascii="Helvetica Neue" w:hAnsi="Helvetica Neue"/>
              </w:rPr>
              <w:t xml:space="preserve">3</w:t>
            </w:r>
          </w:p>
        </w:tc>
      </w:tr>
      <w:tr>
        <w:tc>
          <w:p>
            <w:pPr>
              <w:pStyle w:val="Compact"/>
              <w:jc w:val="left"/>
            </w:pPr>
            <w:r>
              <w:rPr>
                <w:rFonts w:ascii="Helvetica Neue" w:hAnsi="Helvetica Neue"/>
                <w:b/>
              </w:rPr>
              <w:t xml:space="preserve">Total</w:t>
            </w:r>
          </w:p>
        </w:tc>
        <w:tc>
          <w:p>
            <w:pPr>
              <w:pStyle w:val="Compact"/>
              <w:jc w:val="right"/>
            </w:pPr>
            <w:r>
              <w:rPr>
                <w:rFonts w:ascii="Helvetica Neue" w:hAnsi="Helvetica Neue"/>
                <w:b/>
              </w:rPr>
              <w:t xml:space="preserve">5</w:t>
            </w:r>
          </w:p>
        </w:tc>
        <w:tc>
          <w:p>
            <w:pPr>
              <w:pStyle w:val="Compact"/>
              <w:jc w:val="right"/>
            </w:pPr>
            <w:r>
              <w:rPr>
                <w:rFonts w:ascii="Helvetica Neue" w:hAnsi="Helvetica Neue"/>
                <w:b/>
              </w:rPr>
              <w:t xml:space="preserve">12</w:t>
            </w:r>
          </w:p>
        </w:tc>
        <w:tc>
          <w:p>
            <w:pPr>
              <w:pStyle w:val="Compact"/>
              <w:jc w:val="right"/>
            </w:pPr>
            <w:r>
              <w:rPr>
                <w:rFonts w:ascii="Helvetica Neue" w:hAnsi="Helvetica Neue"/>
                <w:b/>
              </w:rPr>
              <w:t xml:space="preserve">24</w:t>
            </w:r>
          </w:p>
        </w:tc>
        <w:tc>
          <w:p>
            <w:pPr>
              <w:pStyle w:val="Compact"/>
              <w:jc w:val="right"/>
            </w:pPr>
            <w:r>
              <w:rPr>
                <w:rFonts w:ascii="Helvetica Neue" w:hAnsi="Helvetica Neue"/>
                <w:b/>
              </w:rPr>
              <w:t xml:space="preserve">40</w:t>
            </w:r>
          </w:p>
        </w:tc>
        <w:tc>
          <w:p>
            <w:pPr>
              <w:pStyle w:val="Compact"/>
              <w:jc w:val="right"/>
            </w:pPr>
            <w:r>
              <w:rPr>
                <w:rFonts w:ascii="Helvetica Neue" w:hAnsi="Helvetica Neue"/>
                <w:b/>
              </w:rPr>
              <w:t xml:space="preserve">62</w:t>
            </w:r>
          </w:p>
        </w:tc>
      </w:tr>
    </w:tbl>
    <w:p>
      <w:pPr>
        <w:pStyle w:val="BodyText"/>
      </w:pPr>
      <w:r>
        <w:rPr>
          <w:b/>
        </w:rPr>
        <w:t xml:space="preserve">12.4 Salary table</w:t>
      </w:r>
      <w:r>
        <w:t xml:space="preserve"> </w:t>
      </w:r>
      <w:r>
        <w:rPr>
          <w:i/>
        </w:rPr>
        <w:t xml:space="preserve">(Boston-market base, projection)</w:t>
      </w:r>
    </w:p>
    <w:tbl>
      <w:tblPr>
        <w:tblStyle w:val="Table"/>
        <w:tblW w:type="pct" w:w="0.0"/>
        <w:tblBorders>
          <w:top w:val="single" w:sz="4" w:color="CCCCCC"/>
          <w:bottom w:val="single" w:sz="4" w:color="CCCCCC"/>
          <w:insideH w:val="single" w:sz="4" w:color="CCCCCC"/>
        </w:tblBorders>
        <w:tblLook w:firstRow="1"/>
      </w:tblPr>
      <w:tblGrid/>
      <w:tr>
        <w:trPr>
          <w:cnfStyle w:firstRow="1"/>
        </w:trPr>
        <w:tc>
          <w:tcPr>
            <w:tcBorders>
              <w:bottom w:val="single"/>
            </w:tcBorders>
            <w:vAlign w:val="bottom"/>
          </w:tcPr>
          <w:p>
            <w:pPr>
              <w:pStyle w:val="Compact"/>
              <w:jc w:val="left"/>
            </w:pPr>
            <w:r>
              <w:rPr>
                <w:rFonts w:ascii="Helvetica Neue" w:hAnsi="Helvetica Neue"/>
              </w:rPr>
              <w:t xml:space="preserve">Role</w:t>
            </w:r>
          </w:p>
        </w:tc>
        <w:tc>
          <w:tcPr>
            <w:tcBorders>
              <w:bottom w:val="single"/>
            </w:tcBorders>
            <w:vAlign w:val="bottom"/>
          </w:tcPr>
          <w:p>
            <w:pPr>
              <w:pStyle w:val="Compact"/>
              <w:jc w:val="right"/>
            </w:pPr>
            <w:r>
              <w:rPr>
                <w:rFonts w:ascii="Helvetica Neue" w:hAnsi="Helvetica Neue"/>
              </w:rPr>
              <w:t xml:space="preserve">Base salary</w:t>
            </w:r>
          </w:p>
        </w:tc>
      </w:tr>
      <w:tr>
        <w:tc>
          <w:p>
            <w:pPr>
              <w:pStyle w:val="Compact"/>
              <w:jc w:val="left"/>
            </w:pPr>
            <w:r>
              <w:rPr>
                <w:rFonts w:ascii="Helvetica Neue" w:hAnsi="Helvetica Neue"/>
              </w:rPr>
              <w:t xml:space="preserve">Co-founder (Y1–Y2, below market)</w:t>
            </w:r>
          </w:p>
        </w:tc>
        <w:tc>
          <w:p>
            <w:pPr>
              <w:pStyle w:val="Compact"/>
              <w:jc w:val="right"/>
            </w:pPr>
            <w:r>
              <w:rPr>
                <w:rFonts w:ascii="Helvetica Neue" w:hAnsi="Helvetica Neue"/>
              </w:rPr>
              <w:t xml:space="preserve">$90,000</w:t>
            </w:r>
          </w:p>
        </w:tc>
      </w:tr>
      <w:tr>
        <w:tc>
          <w:p>
            <w:pPr>
              <w:pStyle w:val="Compact"/>
              <w:jc w:val="left"/>
            </w:pPr>
            <w:r>
              <w:rPr>
                <w:rFonts w:ascii="Helvetica Neue" w:hAnsi="Helvetica Neue"/>
              </w:rPr>
              <w:t xml:space="preserve">Senior ML engineer</w:t>
            </w:r>
          </w:p>
        </w:tc>
        <w:tc>
          <w:p>
            <w:pPr>
              <w:pStyle w:val="Compact"/>
              <w:jc w:val="right"/>
            </w:pPr>
            <w:r>
              <w:rPr>
                <w:rFonts w:ascii="Helvetica Neue" w:hAnsi="Helvetica Neue"/>
              </w:rPr>
              <w:t xml:space="preserve">$165,000</w:t>
            </w:r>
          </w:p>
        </w:tc>
      </w:tr>
      <w:tr>
        <w:tc>
          <w:p>
            <w:pPr>
              <w:pStyle w:val="Compact"/>
              <w:jc w:val="left"/>
            </w:pPr>
            <w:r>
              <w:rPr>
                <w:rFonts w:ascii="Helvetica Neue" w:hAnsi="Helvetica Neue"/>
              </w:rPr>
              <w:t xml:space="preserve">Full-stack / mobile engineer</w:t>
            </w:r>
          </w:p>
        </w:tc>
        <w:tc>
          <w:p>
            <w:pPr>
              <w:pStyle w:val="Compact"/>
              <w:jc w:val="right"/>
            </w:pPr>
            <w:r>
              <w:rPr>
                <w:rFonts w:ascii="Helvetica Neue" w:hAnsi="Helvetica Neue"/>
              </w:rPr>
              <w:t xml:space="preserve">$150,000</w:t>
            </w:r>
          </w:p>
        </w:tc>
      </w:tr>
      <w:tr>
        <w:tc>
          <w:p>
            <w:pPr>
              <w:pStyle w:val="Compact"/>
              <w:jc w:val="left"/>
            </w:pPr>
            <w:r>
              <w:rPr>
                <w:rFonts w:ascii="Helvetica Neue" w:hAnsi="Helvetica Neue"/>
              </w:rPr>
              <w:t xml:space="preserve">Product designer</w:t>
            </w:r>
          </w:p>
        </w:tc>
        <w:tc>
          <w:p>
            <w:pPr>
              <w:pStyle w:val="Compact"/>
              <w:jc w:val="right"/>
            </w:pPr>
            <w:r>
              <w:rPr>
                <w:rFonts w:ascii="Helvetica Neue" w:hAnsi="Helvetica Neue"/>
              </w:rPr>
              <w:t xml:space="preserve">$120,000</w:t>
            </w:r>
          </w:p>
        </w:tc>
      </w:tr>
      <w:tr>
        <w:tc>
          <w:p>
            <w:pPr>
              <w:pStyle w:val="Compact"/>
              <w:jc w:val="left"/>
            </w:pPr>
            <w:r>
              <w:rPr>
                <w:rFonts w:ascii="Helvetica Neue" w:hAnsi="Helvetica Neue"/>
              </w:rPr>
              <w:t xml:space="preserve">Registered dietitian (part-time → full)</w:t>
            </w:r>
          </w:p>
        </w:tc>
        <w:tc>
          <w:p>
            <w:pPr>
              <w:pStyle w:val="Compact"/>
              <w:jc w:val="right"/>
            </w:pPr>
            <w:r>
              <w:rPr>
                <w:rFonts w:ascii="Helvetica Neue" w:hAnsi="Helvetica Neue"/>
              </w:rPr>
              <w:t xml:space="preserve">$60,000–95,000</w:t>
            </w:r>
          </w:p>
        </w:tc>
      </w:tr>
      <w:tr>
        <w:tc>
          <w:p>
            <w:pPr>
              <w:pStyle w:val="Compact"/>
              <w:jc w:val="left"/>
            </w:pPr>
            <w:r>
              <w:rPr>
                <w:rFonts w:ascii="Helvetica Neue" w:hAnsi="Helvetica Neue"/>
              </w:rPr>
              <w:t xml:space="preserve">Nutrition data operations</w:t>
            </w:r>
          </w:p>
        </w:tc>
        <w:tc>
          <w:p>
            <w:pPr>
              <w:pStyle w:val="Compact"/>
              <w:jc w:val="right"/>
            </w:pPr>
            <w:r>
              <w:rPr>
                <w:rFonts w:ascii="Helvetica Neue" w:hAnsi="Helvetica Neue"/>
              </w:rPr>
              <w:t xml:space="preserve">$70,000</w:t>
            </w:r>
          </w:p>
        </w:tc>
      </w:tr>
      <w:tr>
        <w:tc>
          <w:p>
            <w:pPr>
              <w:pStyle w:val="Compact"/>
              <w:jc w:val="left"/>
            </w:pPr>
            <w:r>
              <w:rPr>
                <w:rFonts w:ascii="Helvetica Neue" w:hAnsi="Helvetica Neue"/>
              </w:rPr>
              <w:t xml:space="preserve">City GTM lead</w:t>
            </w:r>
          </w:p>
        </w:tc>
        <w:tc>
          <w:p>
            <w:pPr>
              <w:pStyle w:val="Compact"/>
              <w:jc w:val="right"/>
            </w:pPr>
            <w:r>
              <w:rPr>
                <w:rFonts w:ascii="Helvetica Neue" w:hAnsi="Helvetica Neue"/>
              </w:rPr>
              <w:t xml:space="preserve">$110,000 + incentive</w:t>
            </w:r>
          </w:p>
        </w:tc>
      </w:tr>
      <w:tr>
        <w:tc>
          <w:p>
            <w:pPr>
              <w:pStyle w:val="Compact"/>
              <w:jc w:val="left"/>
            </w:pPr>
            <w:r>
              <w:rPr>
                <w:rFonts w:ascii="Helvetica Neue" w:hAnsi="Helvetica Neue"/>
              </w:rPr>
              <w:t xml:space="preserve">Partner success rep</w:t>
            </w:r>
          </w:p>
        </w:tc>
        <w:tc>
          <w:p>
            <w:pPr>
              <w:pStyle w:val="Compact"/>
              <w:jc w:val="right"/>
            </w:pPr>
            <w:r>
              <w:rPr>
                <w:rFonts w:ascii="Helvetica Neue" w:hAnsi="Helvetica Neue"/>
              </w:rPr>
              <w:t xml:space="preserve">$85,000</w:t>
            </w:r>
          </w:p>
        </w:tc>
      </w:tr>
      <w:tr>
        <w:tc>
          <w:p>
            <w:pPr>
              <w:pStyle w:val="Compact"/>
              <w:jc w:val="left"/>
            </w:pPr>
            <w:r>
              <w:rPr>
                <w:rFonts w:ascii="Helvetica Neue" w:hAnsi="Helvetica Neue"/>
              </w:rPr>
              <w:t xml:space="preserve">Support specialist</w:t>
            </w:r>
          </w:p>
        </w:tc>
        <w:tc>
          <w:p>
            <w:pPr>
              <w:pStyle w:val="Compact"/>
              <w:jc w:val="right"/>
            </w:pPr>
            <w:r>
              <w:rPr>
                <w:rFonts w:ascii="Helvetica Neue" w:hAnsi="Helvetica Neue"/>
              </w:rPr>
              <w:t xml:space="preserve">$55,000</w:t>
            </w:r>
          </w:p>
        </w:tc>
      </w:tr>
    </w:tbl>
    <w:p>
      <w:pPr>
        <w:pStyle w:val="BodyText"/>
      </w:pPr>
      <w:r>
        <w:t xml:space="preserve">Fully-loaded cost ≈ base × 1.25 (payroll taxes, benefits, tools).</w:t>
      </w:r>
    </w:p>
    <w:p>
      <w:pPr>
        <w:pStyle w:val="BodyText"/>
      </w:pPr>
      <w:r>
        <w:rPr>
          <w:b/>
        </w:rPr>
        <w:t xml:space="preserve">12.5 Personnel spend by year</w:t>
      </w:r>
      <w:r>
        <w:t xml:space="preserve"> </w:t>
      </w:r>
      <w:r>
        <w:rPr>
          <w:i/>
        </w:rPr>
        <w:t xml:space="preserve">(projection; reconciles to the</w:t>
      </w:r>
      <w:r>
        <w:rPr>
          <w:i/>
        </w:rPr>
        <w:t xml:space="preserve"> </w:t>
      </w:r>
      <w:r>
        <w:rPr>
          <w:i/>
        </w:rPr>
        <w:t xml:space="preserve">“</w:t>
      </w:r>
      <w:r>
        <w:rPr>
          <w:i/>
        </w:rPr>
        <w:t xml:space="preserve">Team</w:t>
      </w:r>
      <w:r>
        <w:rPr>
          <w:i/>
        </w:rPr>
        <w:t xml:space="preserve">”</w:t>
      </w:r>
      <w:r>
        <w:rPr>
          <w:i/>
        </w:rPr>
        <w:t xml:space="preserve"> </w:t>
      </w:r>
      <w:r>
        <w:rPr>
          <w:i/>
        </w:rPr>
        <w:t xml:space="preserve">line in the P&amp;L,</w:t>
      </w:r>
      <w:r>
        <w:rPr>
          <w:i/>
        </w:rPr>
        <w:t xml:space="preserve"> </w:t>
      </w:r>
      <w:r>
        <w:rPr>
          <w:rStyle w:val="VerbatimChar"/>
          <w:i/>
        </w:rPr>
        <w:t xml:space="preserve">FINANCIAL_MODEL.md</w:t>
      </w:r>
      <w:r>
        <w:rPr>
          <w:i/>
        </w:rPr>
        <w:t xml:space="preserve"> </w:t>
      </w:r>
      <w:r>
        <w:rPr>
          <w:i/>
        </w:rPr>
        <w:t xml:space="preserve">§5)</w:t>
      </w:r>
    </w:p>
    <w:tbl>
      <w:tblPr>
        <w:tblStyle w:val="Table"/>
        <w:tblW w:type="pct" w:w="0.0"/>
        <w:tblBorders>
          <w:top w:val="single" w:sz="4" w:color="CCCCCC"/>
          <w:bottom w:val="single" w:sz="4" w:color="CCCCCC"/>
          <w:insideH w:val="single" w:sz="4" w:color="CCCCCC"/>
        </w:tblBorders>
        <w:tblLook w:firstRow="1"/>
      </w:tblPr>
      <w:tblGrid/>
      <w:tr>
        <w:trPr>
          <w:cnfStyle w:firstRow="1"/>
        </w:trPr>
        <w:tc>
          <w:tcPr>
            <w:tcBorders>
              <w:bottom w:val="single"/>
            </w:tcBorders>
            <w:vAlign w:val="bottom"/>
          </w:tcPr>
          <w:p/>
        </w:tc>
        <w:tc>
          <w:tcPr>
            <w:tcBorders>
              <w:bottom w:val="single"/>
            </w:tcBorders>
            <w:vAlign w:val="bottom"/>
          </w:tcPr>
          <w:p>
            <w:pPr>
              <w:pStyle w:val="Compact"/>
              <w:jc w:val="right"/>
            </w:pPr>
            <w:r>
              <w:rPr>
                <w:rFonts w:ascii="Helvetica Neue" w:hAnsi="Helvetica Neue"/>
              </w:rPr>
              <w:t xml:space="preserve">Y1</w:t>
            </w:r>
          </w:p>
        </w:tc>
        <w:tc>
          <w:tcPr>
            <w:tcBorders>
              <w:bottom w:val="single"/>
            </w:tcBorders>
            <w:vAlign w:val="bottom"/>
          </w:tcPr>
          <w:p>
            <w:pPr>
              <w:pStyle w:val="Compact"/>
              <w:jc w:val="right"/>
            </w:pPr>
            <w:r>
              <w:rPr>
                <w:rFonts w:ascii="Helvetica Neue" w:hAnsi="Helvetica Neue"/>
              </w:rPr>
              <w:t xml:space="preserve">Y2</w:t>
            </w:r>
          </w:p>
        </w:tc>
        <w:tc>
          <w:tcPr>
            <w:tcBorders>
              <w:bottom w:val="single"/>
            </w:tcBorders>
            <w:vAlign w:val="bottom"/>
          </w:tcPr>
          <w:p>
            <w:pPr>
              <w:pStyle w:val="Compact"/>
              <w:jc w:val="right"/>
            </w:pPr>
            <w:r>
              <w:rPr>
                <w:rFonts w:ascii="Helvetica Neue" w:hAnsi="Helvetica Neue"/>
              </w:rPr>
              <w:t xml:space="preserve">Y3</w:t>
            </w:r>
          </w:p>
        </w:tc>
        <w:tc>
          <w:tcPr>
            <w:tcBorders>
              <w:bottom w:val="single"/>
            </w:tcBorders>
            <w:vAlign w:val="bottom"/>
          </w:tcPr>
          <w:p>
            <w:pPr>
              <w:pStyle w:val="Compact"/>
              <w:jc w:val="right"/>
            </w:pPr>
            <w:r>
              <w:rPr>
                <w:rFonts w:ascii="Helvetica Neue" w:hAnsi="Helvetica Neue"/>
              </w:rPr>
              <w:t xml:space="preserve">Y4</w:t>
            </w:r>
          </w:p>
        </w:tc>
        <w:tc>
          <w:tcPr>
            <w:tcBorders>
              <w:bottom w:val="single"/>
            </w:tcBorders>
            <w:vAlign w:val="bottom"/>
          </w:tcPr>
          <w:p>
            <w:pPr>
              <w:pStyle w:val="Compact"/>
              <w:jc w:val="right"/>
            </w:pPr>
            <w:r>
              <w:rPr>
                <w:rFonts w:ascii="Helvetica Neue" w:hAnsi="Helvetica Neue"/>
              </w:rPr>
              <w:t xml:space="preserve">Y5</w:t>
            </w:r>
          </w:p>
        </w:tc>
      </w:tr>
      <w:tr>
        <w:tc>
          <w:p>
            <w:pPr>
              <w:pStyle w:val="Compact"/>
              <w:jc w:val="left"/>
            </w:pPr>
            <w:r>
              <w:rPr>
                <w:rFonts w:ascii="Helvetica Neue" w:hAnsi="Helvetica Neue"/>
              </w:rPr>
              <w:t xml:space="preserve">Headcount (avg)</w:t>
            </w:r>
          </w:p>
        </w:tc>
        <w:tc>
          <w:p>
            <w:pPr>
              <w:pStyle w:val="Compact"/>
              <w:jc w:val="right"/>
            </w:pPr>
            <w:r>
              <w:rPr>
                <w:rFonts w:ascii="Helvetica Neue" w:hAnsi="Helvetica Neue"/>
              </w:rPr>
              <w:t xml:space="preserve">4</w:t>
            </w:r>
          </w:p>
        </w:tc>
        <w:tc>
          <w:p>
            <w:pPr>
              <w:pStyle w:val="Compact"/>
              <w:jc w:val="right"/>
            </w:pPr>
            <w:r>
              <w:rPr>
                <w:rFonts w:ascii="Helvetica Neue" w:hAnsi="Helvetica Neue"/>
              </w:rPr>
              <w:t xml:space="preserve">9</w:t>
            </w:r>
          </w:p>
        </w:tc>
        <w:tc>
          <w:p>
            <w:pPr>
              <w:pStyle w:val="Compact"/>
              <w:jc w:val="right"/>
            </w:pPr>
            <w:r>
              <w:rPr>
                <w:rFonts w:ascii="Helvetica Neue" w:hAnsi="Helvetica Neue"/>
              </w:rPr>
              <w:t xml:space="preserve">18</w:t>
            </w:r>
          </w:p>
        </w:tc>
        <w:tc>
          <w:p>
            <w:pPr>
              <w:pStyle w:val="Compact"/>
              <w:jc w:val="right"/>
            </w:pPr>
            <w:r>
              <w:rPr>
                <w:rFonts w:ascii="Helvetica Neue" w:hAnsi="Helvetica Neue"/>
              </w:rPr>
              <w:t xml:space="preserve">32</w:t>
            </w:r>
          </w:p>
        </w:tc>
        <w:tc>
          <w:p>
            <w:pPr>
              <w:pStyle w:val="Compact"/>
              <w:jc w:val="right"/>
            </w:pPr>
            <w:r>
              <w:rPr>
                <w:rFonts w:ascii="Helvetica Neue" w:hAnsi="Helvetica Neue"/>
              </w:rPr>
              <w:t xml:space="preserve">51</w:t>
            </w:r>
          </w:p>
        </w:tc>
      </w:tr>
      <w:tr>
        <w:tc>
          <w:p>
            <w:pPr>
              <w:pStyle w:val="Compact"/>
              <w:jc w:val="left"/>
            </w:pPr>
            <w:r>
              <w:rPr>
                <w:rFonts w:ascii="Helvetica Neue" w:hAnsi="Helvetica Neue"/>
              </w:rPr>
              <w:t xml:space="preserve">Salaries + load</w:t>
            </w:r>
          </w:p>
        </w:tc>
        <w:tc>
          <w:p>
            <w:pPr>
              <w:pStyle w:val="Compact"/>
              <w:jc w:val="right"/>
            </w:pPr>
            <w:r>
              <w:rPr>
                <w:rFonts w:ascii="Helvetica Neue" w:hAnsi="Helvetica Neue"/>
              </w:rPr>
              <w:t xml:space="preserve">$0.7M</w:t>
            </w:r>
          </w:p>
        </w:tc>
        <w:tc>
          <w:p>
            <w:pPr>
              <w:pStyle w:val="Compact"/>
              <w:jc w:val="right"/>
            </w:pPr>
            <w:r>
              <w:rPr>
                <w:rFonts w:ascii="Helvetica Neue" w:hAnsi="Helvetica Neue"/>
              </w:rPr>
              <w:t xml:space="preserve">$1.9M</w:t>
            </w:r>
          </w:p>
        </w:tc>
        <w:tc>
          <w:p>
            <w:pPr>
              <w:pStyle w:val="Compact"/>
              <w:jc w:val="right"/>
            </w:pPr>
            <w:r>
              <w:rPr>
                <w:rFonts w:ascii="Helvetica Neue" w:hAnsi="Helvetica Neue"/>
              </w:rPr>
              <w:t xml:space="preserve">$3.7M</w:t>
            </w:r>
          </w:p>
        </w:tc>
        <w:tc>
          <w:p>
            <w:pPr>
              <w:pStyle w:val="Compact"/>
              <w:jc w:val="right"/>
            </w:pPr>
            <w:r>
              <w:rPr>
                <w:rFonts w:ascii="Helvetica Neue" w:hAnsi="Helvetica Neue"/>
              </w:rPr>
              <w:t xml:space="preserve">$6.2M</w:t>
            </w:r>
          </w:p>
        </w:tc>
        <w:tc>
          <w:p>
            <w:pPr>
              <w:pStyle w:val="Compact"/>
              <w:jc w:val="right"/>
            </w:pPr>
            <w:r>
              <w:rPr>
                <w:rFonts w:ascii="Helvetica Neue" w:hAnsi="Helvetica Neue"/>
              </w:rPr>
              <w:t xml:space="preserve">$9.8M</w:t>
            </w:r>
          </w:p>
        </w:tc>
      </w:tr>
      <w:tr>
        <w:tc>
          <w:p>
            <w:pPr>
              <w:pStyle w:val="Compact"/>
              <w:jc w:val="left"/>
            </w:pPr>
            <w:r>
              <w:rPr>
                <w:rFonts w:ascii="Helvetica Neue" w:hAnsi="Helvetica Neue"/>
              </w:rPr>
              <w:t xml:space="preserve">Contractors (mobile launch, design)</w:t>
            </w:r>
          </w:p>
        </w:tc>
        <w:tc>
          <w:p>
            <w:pPr>
              <w:pStyle w:val="Compact"/>
              <w:jc w:val="right"/>
            </w:pPr>
            <w:r>
              <w:rPr>
                <w:rFonts w:ascii="Helvetica Neue" w:hAnsi="Helvetica Neue"/>
              </w:rPr>
              <w:t xml:space="preserve">$0.2M</w:t>
            </w:r>
          </w:p>
        </w:tc>
        <w:tc>
          <w:p>
            <w:pPr>
              <w:pStyle w:val="Compact"/>
              <w:jc w:val="right"/>
            </w:pPr>
            <w:r>
              <w:rPr>
                <w:rFonts w:ascii="Helvetica Neue" w:hAnsi="Helvetica Neue"/>
              </w:rPr>
              <w:t xml:space="preserve">$0.3M</w:t>
            </w:r>
          </w:p>
        </w:tc>
        <w:tc>
          <w:p>
            <w:pPr>
              <w:pStyle w:val="Compact"/>
              <w:jc w:val="right"/>
            </w:pPr>
            <w:r>
              <w:rPr>
                <w:rFonts w:ascii="Helvetica Neue" w:hAnsi="Helvetica Neue"/>
              </w:rPr>
              <w:t xml:space="preserve">$0.5M</w:t>
            </w:r>
          </w:p>
        </w:tc>
        <w:tc>
          <w:p>
            <w:pPr>
              <w:pStyle w:val="Compact"/>
              <w:jc w:val="right"/>
            </w:pPr>
            <w:r>
              <w:rPr>
                <w:rFonts w:ascii="Helvetica Neue" w:hAnsi="Helvetica Neue"/>
              </w:rPr>
              <w:t xml:space="preserve">$0.8M</w:t>
            </w:r>
          </w:p>
        </w:tc>
        <w:tc>
          <w:p>
            <w:pPr>
              <w:pStyle w:val="Compact"/>
              <w:jc w:val="right"/>
            </w:pPr>
            <w:r>
              <w:rPr>
                <w:rFonts w:ascii="Helvetica Neue" w:hAnsi="Helvetica Neue"/>
              </w:rPr>
              <w:t xml:space="preserve">$1.2M</w:t>
            </w:r>
          </w:p>
        </w:tc>
      </w:tr>
      <w:tr>
        <w:tc>
          <w:p>
            <w:pPr>
              <w:pStyle w:val="Compact"/>
              <w:jc w:val="left"/>
            </w:pPr>
            <w:r>
              <w:rPr>
                <w:rFonts w:ascii="Helvetica Neue" w:hAnsi="Helvetica Neue"/>
                <w:b/>
              </w:rPr>
              <w:t xml:space="preserve">Total team cost</w:t>
            </w:r>
          </w:p>
        </w:tc>
        <w:tc>
          <w:p>
            <w:pPr>
              <w:pStyle w:val="Compact"/>
              <w:jc w:val="right"/>
            </w:pPr>
            <w:r>
              <w:rPr>
                <w:rFonts w:ascii="Helvetica Neue" w:hAnsi="Helvetica Neue"/>
                <w:b/>
              </w:rPr>
              <w:t xml:space="preserve">$0.9M</w:t>
            </w:r>
          </w:p>
        </w:tc>
        <w:tc>
          <w:p>
            <w:pPr>
              <w:pStyle w:val="Compact"/>
              <w:jc w:val="right"/>
            </w:pPr>
            <w:r>
              <w:rPr>
                <w:rFonts w:ascii="Helvetica Neue" w:hAnsi="Helvetica Neue"/>
                <w:b/>
              </w:rPr>
              <w:t xml:space="preserve">$2.2M</w:t>
            </w:r>
          </w:p>
        </w:tc>
        <w:tc>
          <w:p>
            <w:pPr>
              <w:pStyle w:val="Compact"/>
              <w:jc w:val="right"/>
            </w:pPr>
            <w:r>
              <w:rPr>
                <w:rFonts w:ascii="Helvetica Neue" w:hAnsi="Helvetica Neue"/>
                <w:b/>
              </w:rPr>
              <w:t xml:space="preserve">$4.2M</w:t>
            </w:r>
          </w:p>
        </w:tc>
        <w:tc>
          <w:p>
            <w:pPr>
              <w:pStyle w:val="Compact"/>
              <w:jc w:val="right"/>
            </w:pPr>
            <w:r>
              <w:rPr>
                <w:rFonts w:ascii="Helvetica Neue" w:hAnsi="Helvetica Neue"/>
                <w:b/>
              </w:rPr>
              <w:t xml:space="preserve">$7.0M</w:t>
            </w:r>
          </w:p>
        </w:tc>
        <w:tc>
          <w:p>
            <w:pPr>
              <w:pStyle w:val="Compact"/>
              <w:jc w:val="right"/>
            </w:pPr>
            <w:r>
              <w:rPr>
                <w:rFonts w:ascii="Helvetica Neue" w:hAnsi="Helvetica Neue"/>
                <w:b/>
              </w:rPr>
              <w:t xml:space="preserve">$11.0M</w:t>
            </w:r>
          </w:p>
        </w:tc>
      </w:tr>
    </w:tbl>
    <w:p>
      <w:pPr>
        <w:pStyle w:val="BodyText"/>
      </w:pPr>
      <w:r>
        <w:t xml:space="preserve">Hiring is sequenced behind revenue proof: the Y2 step-up follows pilot conversion data; Y3+ market-launch hiring follows the seed round and the second-metro playbook. Non-dilutive SBIR offsets part of Y1–Y2 engineering.</w:t>
      </w:r>
    </w:p>
    <w:p>
      <w:r>
        <w:pict>
          <v:rect style="width:0;height:1.5pt" o:hralign="center" o:hrstd="t" o:hr="t"/>
        </w:pict>
      </w:r>
    </w:p>
    <w:p>
      <w:pPr>
        <w:pStyle w:val="FirstParagraph"/>
      </w:pPr>
      <w:r>
        <w:rPr>
          <w:i/>
        </w:rPr>
        <w:t xml:space="preserve">Companions:</w:t>
      </w:r>
      <w:r>
        <w:rPr>
          <w:i/>
        </w:rPr>
        <w:t xml:space="preserve"> </w:t>
      </w:r>
      <w:r>
        <w:rPr>
          <w:rStyle w:val="VerbatimChar"/>
          <w:i/>
        </w:rPr>
        <w:t xml:space="preserve">FINANCIAL_MODEL.md</w:t>
      </w:r>
      <w:r>
        <w:rPr>
          <w:i/>
        </w:rPr>
        <w:t xml:space="preserve"> </w:t>
      </w:r>
      <w:r>
        <w:rPr>
          <w:i/>
        </w:rPr>
        <w:t xml:space="preserve">·</w:t>
      </w:r>
      <w:r>
        <w:rPr>
          <w:i/>
        </w:rPr>
        <w:t xml:space="preserve"> </w:t>
      </w:r>
      <w:r>
        <w:rPr>
          <w:rStyle w:val="VerbatimChar"/>
          <w:i/>
        </w:rPr>
        <w:t xml:space="preserve">RESEARCH.md</w:t>
      </w:r>
      <w:r>
        <w:rPr>
          <w:i/>
        </w:rPr>
        <w:t xml:space="preserve"> </w:t>
      </w:r>
      <w:r>
        <w:rPr>
          <w:i/>
        </w:rPr>
        <w:t xml:space="preserve">(cited evidence base) ·</w:t>
      </w:r>
      <w:r>
        <w:rPr>
          <w:i/>
        </w:rPr>
        <w:t xml:space="preserve"> </w:t>
      </w:r>
      <w:r>
        <w:rPr>
          <w:rStyle w:val="VerbatimChar"/>
          <w:i/>
        </w:rPr>
        <w:t xml:space="preserve">COMPETITIVE_SCAN_2026-07.md</w:t>
      </w:r>
      <w:r>
        <w:rPr>
          <w:i/>
        </w:rPr>
        <w:t xml:space="preserve"> </w:t>
      </w:r>
      <w:r>
        <w:rPr>
          <w:i/>
        </w:rPr>
        <w:t xml:space="preserve">(live captures) ·</w:t>
      </w:r>
      <w:r>
        <w:rPr>
          <w:i/>
        </w:rPr>
        <w:t xml:space="preserve"> </w:t>
      </w:r>
      <w:r>
        <w:rPr>
          <w:rStyle w:val="VerbatimChar"/>
          <w:i/>
        </w:rPr>
        <w:t xml:space="preserve">MENU_COLLECTION.md</w:t>
      </w:r>
      <w:r>
        <w:rPr>
          <w:i/>
        </w:rPr>
        <w:t xml:space="preserve"> </w:t>
      </w:r>
      <w:r>
        <w:rPr>
          <w:i/>
        </w:rPr>
        <w:t xml:space="preserve">(data protocol) ·</w:t>
      </w:r>
      <w:r>
        <w:rPr>
          <w:i/>
        </w:rPr>
        <w:t xml:space="preserve"> </w:t>
      </w:r>
      <w:r>
        <w:rPr>
          <w:rStyle w:val="VerbatimChar"/>
          <w:i/>
        </w:rPr>
        <w:t xml:space="preserve">SYSTEM_ARCHITECTURE.md</w:t>
      </w:r>
      <w:r>
        <w:rPr>
          <w:i/>
        </w:rPr>
        <w:t xml:space="preserve"> </w:t>
      </w:r>
      <w:r>
        <w:rPr>
          <w:i/>
        </w:rPr>
        <w:t xml:space="preserve">·</w:t>
      </w:r>
      <w:r>
        <w:rPr>
          <w:i/>
        </w:rPr>
        <w:t xml:space="preserve"> </w:t>
      </w:r>
      <w:r>
        <w:rPr>
          <w:rStyle w:val="VerbatimChar"/>
          <w:i/>
        </w:rPr>
        <w:t xml:space="preserve">DESIGN_INTEGRATION_NIW.md</w:t>
      </w:r>
      <w:r>
        <w:rPr>
          <w:i/>
        </w:rPr>
        <w:t xml:space="preserve">. Working product: this repository (</w:t>
      </w:r>
      <w:r>
        <w:rPr>
          <w:rStyle w:val="VerbatimChar"/>
          <w:i/>
        </w:rPr>
        <w:t xml:space="preserve">npm run dev</w:t>
      </w:r>
      <w:r>
        <w:rPr>
          <w:i/>
        </w:rPr>
        <w:t xml:space="preserve">) and the published demo site.</w:t>
      </w:r>
    </w:p>
    <w:sectPr>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60" w:line="276" w:lineRule="auto"/>
    </w:pPr>
    <w:rPr>
      <w:rFonts w:ascii="Georgia" w:hAnsi="Georgia"/>
      <w:color w:val="201E1D"/>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Helvetica Neue" w:hAnsi="Helvetica Neue"/>
      <w:b/>
      <w:bCs/>
      <w:color w:val="201E1D"/>
      <w:sz w:val="4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2026-07-20T23:20:57Z</dcterms:created>
  <dcterms:modified xsi:type="dcterms:W3CDTF">2026-07-20T23:20:57Z</dcterms:modified>
</cp:coreProperties>
</file>

<file path=docProps/custom.xml><?xml version="1.0" encoding="utf-8"?>
<Properties xmlns="http://schemas.openxmlformats.org/officeDocument/2006/custom-properties" xmlns:vt="http://schemas.openxmlformats.org/officeDocument/2006/docPropsVTypes"/>
</file>