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business-plan"/>
      <w:r>
        <w:t xml:space="preserve">Forkcast — Business Plan</w:t>
      </w:r>
      <w:bookmarkEnd w:id="20"/>
    </w:p>
    <w:p>
      <w:pPr>
        <w:pStyle w:val="FirstParagraph"/>
      </w:pPr>
      <w:r>
        <w:rPr>
          <w:b/>
        </w:rPr>
        <w:t xml:space="preserve">The trust layer for restaurant nutrition decisions.</w:t>
      </w:r>
      <w:r>
        <w:t xml:space="preserve"> </w:t>
      </w:r>
      <w:r>
        <w:t xml:space="preserve">Forkcast tells diners what to order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they order — scored against their own body and goals — then closes the loop: order, confirm, log, measure. It is the only product connecting pre-order decision support, verified independent-restaurant nutrition data, and post-order confirmed logging.</w:t>
      </w:r>
    </w:p>
    <w:p>
      <w:pPr>
        <w:pStyle w:val="BodyText"/>
      </w:pPr>
      <w:r>
        <w:rPr>
          <w:i/>
        </w:rPr>
        <w:t xml:space="preserve">Version 2.0 — July 2026. Prepared for pre-seed conversations and as part of the founders’ evidence record. All market figures are sourced (CDC, USDA ERS, AHRQ, peer-reviewed literature, company filings/press; see</w:t>
      </w:r>
      <w:r>
        <w:rPr>
          <w:i/>
        </w:rPr>
        <w:t xml:space="preserve"> </w:t>
      </w:r>
      <w:r>
        <w:rPr>
          <w:rStyle w:val="VerbatimChar"/>
          <w:i/>
        </w:rPr>
        <w:t xml:space="preserve">RESEARCH.md</w:t>
      </w:r>
      <w:r>
        <w:rPr>
          <w:i/>
        </w:rPr>
        <w:t xml:space="preserve">); competitive claims from live site captures dated July 15, 2026 (see</w:t>
      </w:r>
      <w:r>
        <w:rPr>
          <w:i/>
        </w:rPr>
        <w:t xml:space="preserve"> </w:t>
      </w:r>
      <w:r>
        <w:rPr>
          <w:rStyle w:val="VerbatimChar"/>
          <w:i/>
        </w:rPr>
        <w:t xml:space="preserve">COMPETITIVE_SCAN_2026-07.md</w:t>
      </w:r>
      <w:r>
        <w:rPr>
          <w:i/>
        </w:rPr>
        <w:t xml:space="preserve">). Nothing in this document claims users, partners, revenue, or outcomes that do not exist.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he-answer-first"/>
      <w:r>
        <w:t xml:space="preserve">0. The answer first</w:t>
      </w:r>
      <w:bookmarkEnd w:id="21"/>
    </w:p>
    <w:p>
      <w:pPr>
        <w:pStyle w:val="FirstParagraph"/>
      </w:pPr>
      <w:r>
        <w:rPr>
          <w:b/>
        </w:rPr>
        <w:t xml:space="preserve">Americans eat out more than ever, decide blind, and every existing app reacts only after the plate is empty.</w:t>
      </w:r>
      <w:r>
        <w:t xml:space="preserve"> </w:t>
      </w:r>
      <w:r>
        <w:t xml:space="preserve">The category leader for</w:t>
      </w:r>
      <w:r>
        <w:t xml:space="preserve"> </w:t>
      </w:r>
      <w:r>
        <w:t xml:space="preserve">“</w:t>
      </w:r>
      <w:r>
        <w:t xml:space="preserve">eat out healthy</w:t>
      </w:r>
      <w:r>
        <w:t xml:space="preserve">”</w:t>
      </w:r>
      <w:r>
        <w:t xml:space="preserve"> </w:t>
      </w:r>
      <w:r>
        <w:t xml:space="preserve">markets AI guesses across 22 million locations as facts; the logging giants own the aftermath; the delivery marketplaces own the transaction. Nobody owns the</w:t>
      </w:r>
      <w:r>
        <w:t xml:space="preserve"> </w:t>
      </w:r>
      <w:r>
        <w:rPr>
          <w:i/>
        </w:rPr>
        <w:t xml:space="preserve">decision</w:t>
      </w:r>
      <w:r>
        <w:t xml:space="preserve"> </w:t>
      </w:r>
      <w:r>
        <w:t xml:space="preserve">— and nobody at all serves the ~65% of U.S. restaurants that are independent and exempt from federal menu labeling.</w:t>
      </w:r>
    </w:p>
    <w:p>
      <w:pPr>
        <w:pStyle w:val="BodyText"/>
      </w:pPr>
      <w:r>
        <w:rPr>
          <w:b/>
        </w:rPr>
        <w:t xml:space="preserve">Forkcast owns the decision, and earns the right to with honesty no competitor structurally can match:</w:t>
      </w:r>
      <w:r>
        <w:t xml:space="preserve"> </w:t>
      </w:r>
      <w:r>
        <w:t xml:space="preserve">every nutrition number carries its source and a ± range, restaurants review and correct their own data through a versioned public process, sponsored placement can never touch the score, and the personal calorie target itself recalibrates from the user’s own measured energy balance. The full product — decision → order → restaurant terminal → confirmed log → adaptive measurement —</w:t>
      </w:r>
      <w:r>
        <w:t xml:space="preserve"> </w:t>
      </w:r>
      <w:r>
        <w:rPr>
          <w:b/>
        </w:rPr>
        <w:t xml:space="preserve">exists and works today</w:t>
      </w:r>
      <w:r>
        <w:t xml:space="preserve"> </w:t>
      </w:r>
      <w:r>
        <w:t xml:space="preserve">(this repository, 38+ dated commits, live demo).</w:t>
      </w:r>
    </w:p>
    <w:p>
      <w:pPr>
        <w:pStyle w:val="BodyText"/>
      </w:pPr>
      <w:r>
        <w:rPr>
          <w:b/>
        </w:rPr>
        <w:t xml:space="preserve">The ask: ~$1.0–1.5M pre-seed SAFE (~$5–6M post) plus non-dilutive SBIR</w:t>
      </w:r>
      <w:r>
        <w:t xml:space="preserve">, to run the Boston pilot against six pre-registered metrics, convert the first independent restaurants into verified partners, and prove retention economics.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df58d04560caa5c3bc882b5bd619cd9216a599b"/>
      <w:r>
        <w:t xml:space="preserve">1. Situation — eating out is where American diets are decided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Food spending eaten away from home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58.5%</w:t>
            </w:r>
            <w:r>
              <w:t xml:space="preserve"> </w:t>
            </w:r>
            <w:r>
              <w:t xml:space="preserve">(record; $4,485/capita, +12% YoY)</w:t>
            </w:r>
          </w:p>
        </w:tc>
        <w:tc>
          <w:p>
            <w:pPr>
              <w:pStyle w:val="Compact"/>
              <w:jc w:val="left"/>
            </w:pPr>
            <w:r>
              <w:t xml:space="preserve">USDA ERS Food Expenditure Series,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calories from food away from home</w:t>
            </w:r>
          </w:p>
        </w:tc>
        <w:tc>
          <w:p>
            <w:pPr>
              <w:pStyle w:val="Compact"/>
              <w:jc w:val="left"/>
            </w:pPr>
            <w:r>
              <w:t xml:space="preserve">~1/3 of adults’ calories</w:t>
            </w:r>
          </w:p>
        </w:tc>
        <w:tc>
          <w:p>
            <w:pPr>
              <w:pStyle w:val="Compact"/>
              <w:jc w:val="left"/>
            </w:pPr>
            <w:r>
              <w:t xml:space="preserve">USDA ERS / NHANES (directional)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Restaurant vs. home meal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+~200 kcal, +~350 mg sodium</w:t>
            </w:r>
          </w:p>
        </w:tc>
        <w:tc>
          <w:p>
            <w:pPr>
              <w:pStyle w:val="Compact"/>
              <w:jc w:val="left"/>
            </w:pPr>
            <w:r>
              <w:t xml:space="preserve">USDA 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Diners who underestimate restaurant calories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~2 in 3</w:t>
            </w:r>
            <w:r>
              <w:t xml:space="preserve">; ~25% by 500+ kcal</w:t>
            </w:r>
          </w:p>
        </w:tc>
        <w:tc>
          <w:p>
            <w:pPr>
              <w:pStyle w:val="Compact"/>
              <w:jc w:val="left"/>
            </w:pPr>
            <w:r>
              <w:t xml:space="preserve">USDA / NHANES,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Behavior change from mandatory calorie labels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~24 fewer kcal/transaction</w:t>
            </w:r>
            <w:r>
              <w:t xml:space="preserve"> </w:t>
            </w:r>
            <w:r>
              <w:t xml:space="preserve">(often null in fast food)</w:t>
            </w:r>
          </w:p>
        </w:tc>
        <w:tc>
          <w:p>
            <w:pPr>
              <w:pStyle w:val="Compact"/>
              <w:jc w:val="left"/>
            </w:pPr>
            <w:r>
              <w:t xml:space="preserve">Peer-reviewed labeling literature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U.S. adult obesity / overweight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40.3% obese + 31.7% overweight ≈ 72%</w:t>
            </w:r>
          </w:p>
        </w:tc>
        <w:tc>
          <w:p>
            <w:pPr>
              <w:pStyle w:val="Compact"/>
              <w:jc w:val="left"/>
            </w:pPr>
            <w:r>
              <w:t xml:space="preserve">CDC NCHS,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Diet-related disease cost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~$334B/yr</w:t>
            </w:r>
            <w:r>
              <w:t xml:space="preserve">; obesity ~</w:t>
            </w:r>
            <m:oMath>
              <m:r>
                <m:t>173</m:t>
              </m:r>
              <m:r>
                <m:t>B</m:t>
              </m:r>
              <m:r>
                <m:t>/</m:t>
              </m:r>
              <m:r>
                <m:t>y</m:t>
              </m:r>
              <m:r>
                <m:t>r</m:t>
              </m:r>
              <m:r>
                <m:t>(</m:t>
              </m:r>
              <m:r>
                <m:t>2019</m:t>
              </m:r>
            </m:oMath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CDC; AHRQ MEPS</w:t>
            </w:r>
          </w:p>
        </w:tc>
      </w:tr>
    </w:tbl>
    <w:p>
      <w:pPr>
        <w:pStyle w:val="Heading2"/>
      </w:pPr>
      <w:bookmarkStart w:id="23" w:name="X765e7d77fb4251ece2226ee49618e0178bb27e4"/>
      <w:r>
        <w:t xml:space="preserve">2. Complication — three structural failures nobody has fixed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data doesn’t exist where people actually eat.</w:t>
      </w:r>
      <w:r>
        <w:t xml:space="preserve"> </w:t>
      </w:r>
      <w:r>
        <w:t xml:space="preserve">FDA menu labeling (21 CFR 101.11) binds only 20+-location chains. The independent majority of U.S. restaurants publish nothing, and no commercial database covers them — the structural gap at the center of this plan.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timing is wrong everywhere.</w:t>
      </w:r>
      <w:r>
        <w:t xml:space="preserve"> </w:t>
      </w:r>
      <w:r>
        <w:t xml:space="preserve">Logging apps (MyFitnessPal: 220M registered, ~30M MAU) act after eating — accounting, not coaching — with 70–80% of calorie-app users quitting within two weeks. Labels act at the menu but move behavior ~24 kcal. Delivery apps act at the transaction with zero nutrition intelligence.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new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AI menu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entrants sell certainty they don’t have.</w:t>
      </w:r>
      <w:r>
        <w:t xml:space="preserve"> </w:t>
      </w:r>
      <w:r>
        <w:t xml:space="preserve">MenuFit (live capture, July 2026):</w:t>
      </w:r>
      <w:r>
        <w:t xml:space="preserve"> </w:t>
      </w:r>
      <w:r>
        <w:t xml:space="preserve">“</w:t>
      </w:r>
      <w:r>
        <w:t xml:space="preserve">#1 App For Eating Out Healthy,</w:t>
      </w:r>
      <w:r>
        <w:t xml:space="preserve">”</w:t>
      </w:r>
      <w:r>
        <w:t xml:space="preserve"> </w:t>
      </w:r>
      <w:r>
        <w:t xml:space="preserve">22.3M locations, meals that</w:t>
      </w:r>
      <w:r>
        <w:t xml:space="preserve"> </w:t>
      </w:r>
      <w:r>
        <w:t xml:space="preserve">“</w:t>
      </w:r>
      <w:r>
        <w:t xml:space="preserve">perfectly align with your macros</w:t>
      </w:r>
      <w:r>
        <w:t xml:space="preserve">”</w:t>
      </w:r>
      <w:r>
        <w:t xml:space="preserve"> </w:t>
      </w:r>
      <w:r>
        <w:t xml:space="preserve">— no sources, no error ranges, no correction mechanism, no restaurant participation, no web product, and a recommendation that dead-ends (no order, no log). Credibility is the category’s open flank.</w:t>
      </w:r>
    </w:p>
    <w:p>
      <w:pPr>
        <w:pStyle w:val="Heading2"/>
      </w:pPr>
      <w:bookmarkStart w:id="24" w:name="resolution-the-trust-layer-already-built"/>
      <w:r>
        <w:t xml:space="preserve">3. Resolution — the trust layer, already built</w:t>
      </w:r>
      <w:bookmarkEnd w:id="24"/>
    </w:p>
    <w:p>
      <w:pPr>
        <w:pStyle w:val="FirstParagraph"/>
      </w:pPr>
      <w:r>
        <w:t xml:space="preserve">Forkcast turns a health profile (Mifflin-St Jeor BMR → activity-scaled TDEE → goal-adjusted targets; ISSN macros; CDC BMI classes; allergies and conditions) into an explainable per-dish</w:t>
      </w:r>
      <w:r>
        <w:t xml:space="preserve"> </w:t>
      </w:r>
      <w:r>
        <w:rPr>
          <w:b/>
        </w:rPr>
        <w:t xml:space="preserve">Fit Score</w:t>
      </w:r>
      <w:r>
        <w:t xml:space="preserve">, ranks every nearby menu around what’s left of the user’s day, and then — unlike every competitor —</w:t>
      </w:r>
      <w:r>
        <w:t xml:space="preserve"> </w:t>
      </w:r>
      <w:r>
        <w:rPr>
          <w:b/>
        </w:rPr>
        <w:t xml:space="preserve">finishes the job</w:t>
      </w:r>
      <w:r>
        <w:t xml:space="preserve">:</w:t>
      </w:r>
    </w:p>
    <w:p>
      <w:pPr>
        <w:pStyle w:val="BodyText"/>
      </w:pPr>
      <w:r>
        <w:rPr>
          <w:b/>
        </w:rPr>
        <w:t xml:space="preserve">plan → discover → compare → order → restaurant accepts → confirm portions → log with evidence → measure → recalibrate</w:t>
      </w:r>
    </w:p>
    <w:p>
      <w:pPr>
        <w:pStyle w:val="Heading3"/>
      </w:pPr>
      <w:bookmarkStart w:id="25" w:name="Xe113aa267a5023941a1440a2a03f96f5d479bfe"/>
      <w:r>
        <w:t xml:space="preserve">As built (dated commits in this repository, July 2026)</w:t>
      </w:r>
      <w:bookmarkEnd w:id="2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Fit Score engine + condition/allergen personalization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t xml:space="preserve">Explainable, safety-aware ranking; allergen matches excluded from recommendations, condition advisories on every dish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ordering loop: basket → checkout → tracking →</w:t>
            </w:r>
            <w:r>
              <w:t xml:space="preserve"> </w:t>
            </w:r>
            <w:r>
              <w:t xml:space="preserve">“</w:t>
            </w:r>
            <w:r>
              <w:t xml:space="preserve">Log this meal?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  <w:r>
              <w:t xml:space="preserve"> </w:t>
            </w:r>
            <w:r>
              <w:t xml:space="preserve">(payments/delivery integrations honestly labeled prototype)</w:t>
            </w:r>
          </w:p>
        </w:tc>
        <w:tc>
          <w:p>
            <w:pPr>
              <w:pStyle w:val="Compact"/>
              <w:jc w:val="left"/>
            </w:pPr>
            <w:r>
              <w:t xml:space="preserve">The decision connects to the record; every logged restaurant meal carries an order reference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Restaurant partner terminal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  <w:r>
              <w:t xml:space="preserve"> </w:t>
            </w:r>
            <w:r>
              <w:t xml:space="preserve">(demo-labeled)</w:t>
            </w:r>
          </w:p>
        </w:tc>
        <w:tc>
          <w:p>
            <w:pPr>
              <w:pStyle w:val="Compact"/>
              <w:jc w:val="left"/>
            </w:pPr>
            <w:r>
              <w:t xml:space="preserve">Order queue with customer allergy flags, prep quotes, and</w:t>
            </w:r>
            <w:r>
              <w:t xml:space="preserve"> </w:t>
            </w:r>
            <w:r>
              <w:rPr>
                <w:b/>
              </w:rPr>
              <w:t xml:space="preserve">versioned, timestamped menu corrections</w:t>
            </w:r>
            <w:r>
              <w:t xml:space="preserve"> </w:t>
            </w:r>
            <w:r>
              <w:t xml:space="preserve">that surface publicly on dish pages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Three-tier data provenance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Partner-verified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</w:rPr>
              <w:t xml:space="preserve">Restaurant-published</w:t>
            </w:r>
            <w:r>
              <w:t xml:space="preserve"> </w:t>
            </w:r>
            <w:r>
              <w:t xml:space="preserve">(Sweetgreen menu captured live July 2026; The Halal Guys’ published guide) /</w:t>
            </w:r>
            <w:r>
              <w:t xml:space="preserve"> </w:t>
            </w:r>
            <w:r>
              <w:rPr>
                <w:i/>
              </w:rPr>
              <w:t xml:space="preserve">Estimated ±15%</w:t>
            </w:r>
            <w:r>
              <w:t xml:space="preserve"> </w:t>
            </w:r>
            <w:r>
              <w:t xml:space="preserve">(real Boston independents, labeled)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Adaptive metabolic calibration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t xml:space="preserve">Target TDEE back-calculated from the user’s own logged intake + weight change (energy balance), confidence-blended — the state-of-the-art approach, attached to restaurant decisions no adaptive app has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 system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t xml:space="preserve">Exportable meal log with source/portion/confidence per entry;</w:t>
            </w:r>
            <w:r>
              <w:t xml:space="preserve"> </w:t>
            </w:r>
            <w:r>
              <w:rPr>
                <w:rStyle w:val="VerbatimChar"/>
              </w:rPr>
              <w:t xml:space="preserve">/impact</w:t>
            </w:r>
            <w:r>
              <w:t xml:space="preserve"> </w:t>
            </w:r>
            <w:r>
              <w:t xml:space="preserve">page with six pre-registered pilot metrics and a public source ledger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Role-based accounts (diner / restaurant), web-first with shareable dish pages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t xml:space="preserve">Two-sided from day one; the app-only competitors have no web surface at all</w:t>
            </w:r>
          </w:p>
        </w:tc>
      </w:tr>
    </w:tbl>
    <w:p>
      <w:pPr>
        <w:pStyle w:val="BodyText"/>
      </w:pPr>
      <w:r>
        <w:rPr>
          <w:b/>
        </w:rPr>
        <w:t xml:space="preserve">What is deliberately</w:t>
      </w:r>
      <w:r>
        <w:rPr>
          <w:b/>
        </w:rPr>
        <w:t xml:space="preserve"> </w:t>
      </w:r>
      <w:r>
        <w:rPr>
          <w:i/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built:</w:t>
      </w:r>
      <w:r>
        <w:t xml:space="preserve"> </w:t>
      </w:r>
      <w:r>
        <w:t xml:space="preserve">payment processing, live delivery dispatch, and partner handoff links — all shown as clearly-labeled integration states, never simulated as real. Kitchen status is simulated and labeled until a terminal claims the order.</w:t>
      </w:r>
    </w:p>
    <w:p>
      <w:pPr>
        <w:pStyle w:val="Heading2"/>
      </w:pPr>
      <w:bookmarkStart w:id="26" w:name="market"/>
      <w:r>
        <w:t xml:space="preserve">4. Market</w:t>
      </w:r>
      <w:bookmarkEnd w:id="26"/>
    </w:p>
    <w:p>
      <w:pPr>
        <w:pStyle w:val="FirstParagraph"/>
      </w:pPr>
      <w:r>
        <w:rPr>
          <w:i/>
        </w:rPr>
        <w:t xml:space="preserve">U.S.-only; reasoning explicit so each number can be challenged (full derivations in</w:t>
      </w:r>
      <w:r>
        <w:rPr>
          <w:i/>
        </w:rPr>
        <w:t xml:space="preserve"> </w:t>
      </w:r>
      <w:r>
        <w:rPr>
          <w:rStyle w:val="VerbatimChar"/>
          <w:i/>
        </w:rPr>
        <w:t xml:space="preserve">RESEARCH.md</w:t>
      </w:r>
      <w:r>
        <w:rPr>
          <w:i/>
        </w:rP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TAM ≈ $11.1B/yr.</w:t>
      </w:r>
      <w:r>
        <w:t xml:space="preserve"> </w:t>
      </w:r>
      <w:r>
        <w:t xml:space="preserve">~186M U.S. adults with elevated BMI (≈72% of 258M adults; CDC 2024) × ~$60 blended annual consumer ARPU (anchored between MyFitnessPal Premium $79.99/yr and Cal AI $29.99/yr). Triangulates with the independently sized calorie-tracking app market ($5.5–14B, 2025; 12–20% CAGR).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SAM ≈ $3.3B/yr.</w:t>
      </w:r>
      <w:r>
        <w:t xml:space="preserve"> </w:t>
      </w:r>
      <w:r>
        <w:t xml:space="preserve">~55.7M goal-oriented active dieters who eat out often (~30% of the elevated-BMI pool) × $60.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SOM ≈ $40–90M ARR (5-yr).</w:t>
      </w:r>
      <w:r>
        <w:t xml:space="preserve"> </w:t>
      </w:r>
      <w:r>
        <w:t xml:space="preserve">0.5–2.0% of SAM (0.28–1.1M payers; 1% ≈ $33M consumer ARR) plus restaurant retail-media and B2B2C legs.</w:t>
      </w:r>
      <w:r>
        <w:t xml:space="preserve"> </w:t>
      </w:r>
      <w:r>
        <w:rPr>
          <w:b/>
        </w:rPr>
        <w:t xml:space="preserve">Retention-bound, not demand-bound.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Velocity proof:</w:t>
      </w:r>
      <w:r>
        <w:t xml:space="preserve"> </w:t>
      </w:r>
      <w:r>
        <w:t xml:space="preserve">Cal AI reached ~15M downloads and $30M+ ARR in under two years before MyFitnessPal acquired it (Dec 2025).</w:t>
      </w:r>
    </w:p>
    <w:p>
      <w:pPr>
        <w:pStyle w:val="Heading2"/>
      </w:pPr>
      <w:bookmarkStart w:id="27" w:name="Xba514d99c1870338b1c37c28145c091a28b73ff"/>
      <w:r>
        <w:t xml:space="preserve">5. Competition — and the flank they all leave open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Structurally absent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MenuFit / PlateMate / Nuuro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Know what to order</w:t>
            </w:r>
            <w:r>
              <w:t xml:space="preserve">”</w:t>
            </w:r>
            <w:r>
              <w:t xml:space="preserve"> </w:t>
            </w:r>
            <w:r>
              <w:t xml:space="preserve">positioning; AI menu scoring; influencer GTM</w:t>
            </w:r>
          </w:p>
        </w:tc>
        <w:tc>
          <w:p>
            <w:pPr>
              <w:pStyle w:val="Compact"/>
              <w:jc w:val="left"/>
            </w:pPr>
            <w:r>
              <w:t xml:space="preserve">Sources, error ranges, corrections, restaurant participation, ordering/logging loop, web presence; guilt-based fitness framing excludes the health-condition market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MyFitnessPal</w:t>
            </w:r>
          </w:p>
        </w:tc>
        <w:tc>
          <w:p>
            <w:pPr>
              <w:pStyle w:val="Compact"/>
              <w:jc w:val="left"/>
            </w:pPr>
            <w:r>
              <w:t xml:space="preserve">Retrospective logging at scale</w:t>
            </w:r>
          </w:p>
        </w:tc>
        <w:tc>
          <w:p>
            <w:pPr>
              <w:pStyle w:val="Compact"/>
              <w:jc w:val="left"/>
            </w:pPr>
            <w:r>
              <w:t xml:space="preserve">Acts after eating; restaurant data is its weakest (same dish 400–1,200 kcal); 70–80% two-week churn; first revenue decline (−5.7%, 2025)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DoorDash / Uber Eats</w:t>
            </w:r>
          </w:p>
        </w:tc>
        <w:tc>
          <w:p>
            <w:pPr>
              <w:pStyle w:val="Compact"/>
              <w:jc w:val="left"/>
            </w:pPr>
            <w:r>
              <w:t xml:space="preserve">Ordering logistics, merchant graph, $1B+ ads</w:t>
            </w:r>
          </w:p>
        </w:tc>
        <w:tc>
          <w:p>
            <w:pPr>
              <w:pStyle w:val="Compact"/>
              <w:jc w:val="left"/>
            </w:pPr>
            <w:r>
              <w:t xml:space="preserve">Zero personal-nutrition intelligence; sponsored placement</w:t>
            </w:r>
            <w:r>
              <w:t xml:space="preserve"> </w:t>
            </w:r>
            <w:r>
              <w:rPr>
                <w:i/>
              </w:rPr>
              <w:t xml:space="preserve">is</w:t>
            </w:r>
            <w:r>
              <w:t xml:space="preserve"> </w:t>
            </w:r>
            <w:r>
              <w:t xml:space="preserve">the product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Sweetgreen / CAVA</w:t>
            </w:r>
          </w:p>
        </w:tc>
        <w:tc>
          <w:p>
            <w:pPr>
              <w:pStyle w:val="Compact"/>
              <w:jc w:val="left"/>
            </w:pPr>
            <w:r>
              <w:t xml:space="preserve">Excellent single-brand transparency</w:t>
            </w:r>
          </w:p>
        </w:tc>
        <w:tc>
          <w:p>
            <w:pPr>
              <w:pStyle w:val="Compact"/>
              <w:jc w:val="left"/>
            </w:pPr>
            <w:r>
              <w:t xml:space="preserve">Can’t be brand-agnostic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Foodsmart / Nourish</w:t>
            </w:r>
          </w:p>
        </w:tc>
        <w:tc>
          <w:p>
            <w:pPr>
              <w:pStyle w:val="Compact"/>
              <w:jc w:val="left"/>
            </w:pPr>
            <w:r>
              <w:t xml:space="preserve">Payer-funded dietitian care (2.2M members / $1B+ valuation)</w:t>
            </w:r>
          </w:p>
        </w:tc>
        <w:tc>
          <w:p>
            <w:pPr>
              <w:pStyle w:val="Compact"/>
              <w:jc w:val="left"/>
            </w:pPr>
            <w:r>
              <w:t xml:space="preserve">Care delivery, not the moment of ordering</w:t>
            </w:r>
          </w:p>
        </w:tc>
      </w:tr>
    </w:tbl>
    <w:p>
      <w:pPr>
        <w:pStyle w:val="BodyText"/>
      </w:pPr>
      <w:r>
        <w:rPr>
          <w:b/>
        </w:rPr>
        <w:t xml:space="preserve">The whitespace in one line:</w:t>
      </w:r>
      <w:r>
        <w:t xml:space="preserve"> </w:t>
      </w:r>
      <w:r>
        <w:rPr>
          <w:i/>
        </w:rPr>
        <w:t xml:space="preserve">nobody connects pre-order decision support, verified independent-restaurant data, and post-order confirmed logging — and nobody can prove their numbers.</w:t>
      </w:r>
    </w:p>
    <w:p>
      <w:pPr>
        <w:pStyle w:val="BodyText"/>
      </w:pPr>
      <w:r>
        <w:rPr>
          <w:b/>
        </w:rPr>
        <w:t xml:space="preserve">The moat compounds through participation:</w:t>
      </w:r>
      <w:r>
        <w:t xml:space="preserve"> </w:t>
      </w:r>
      <w:r>
        <w:t xml:space="preserve">every restaurant that verifies its menu, every versioned correction, every order-confirmed meal (ground truth vs. estimate — a validation dataset no retrospective logger can construct), and every calibration cycle makes the data asset harder to replicate than any vision model.</w:t>
      </w:r>
    </w:p>
    <w:p>
      <w:pPr>
        <w:pStyle w:val="Heading2"/>
      </w:pPr>
      <w:bookmarkStart w:id="28" w:name="business-model-three-legs-sequenced"/>
      <w:r>
        <w:t xml:space="preserve">6. Business model — three legs, sequenced</w:t>
      </w:r>
      <w:bookmarkEnd w:id="28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Consumer subscription (launch) — priced to win.</w:t>
      </w:r>
      <w:r>
        <w:t xml:space="preserve"> </w:t>
      </w:r>
      <w:r>
        <w:t xml:space="preserve">The closed loop is</w:t>
      </w:r>
      <w:r>
        <w:t xml:space="preserve"> </w:t>
      </w:r>
      <w:r>
        <w:rPr>
          <w:b/>
        </w:rPr>
        <w:t xml:space="preserve">free forever</w:t>
      </w:r>
      <w:r>
        <w:t xml:space="preserve"> </w:t>
      </w:r>
      <w:r>
        <w:t xml:space="preserve">(charging for logging is the incumbents’ most-hated move, and free order volume feeds the restaurant leg). Premium — calibration, analytics, unlimited photo AI, condition packs — at</w:t>
      </w:r>
      <w:r>
        <w:t xml:space="preserve"> </w:t>
      </w:r>
      <w:r>
        <w:rPr>
          <w:b/>
        </w:rPr>
        <w:t xml:space="preserve">$4.99/mo or $39.99/yr</w:t>
      </w:r>
      <w:r>
        <w:t xml:space="preserve">: half of MyFitnessPal’s annual, 4–14× under every incumbent monthly, priced just below the accuracy-monetizers (MacroFactor $71.99/yr) whose model proves trust holds price. Gate growth on</w:t>
      </w:r>
      <w:r>
        <w:t xml:space="preserve"> </w:t>
      </w:r>
      <w:r>
        <w:rPr>
          <w:b/>
        </w:rPr>
        <w:t xml:space="preserve">LTV:CAC ≥ 3:1, ~6-month payback</w:t>
      </w:r>
      <w:r>
        <w:t xml:space="preserve">, funded by a ~$0-CAC channel no logger has: restaurant-partner co-marketing.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Restaurant leg — every dollar earned (incentive ladder).</w:t>
      </w:r>
      <w:r>
        <w:t xml:space="preserve"> </w:t>
      </w:r>
      <w:r>
        <w:t xml:space="preserve">Rung 1:</w:t>
      </w:r>
      <w:r>
        <w:t xml:space="preserve"> </w:t>
      </w:r>
      <w:r>
        <w:rPr>
          <w:b/>
        </w:rPr>
        <w:t xml:space="preserve">Verified Partner is free forever</w:t>
      </w:r>
      <w:r>
        <w:t xml:space="preserve"> </w:t>
      </w:r>
      <w:r>
        <w:t xml:space="preserve">(terminal, allergy flags, corrections, badge) — their participation improves our data asset. Rung 2:</w:t>
      </w:r>
      <w:r>
        <w:t xml:space="preserve"> </w:t>
      </w:r>
      <w:r>
        <w:rPr>
          <w:b/>
        </w:rPr>
        <w:t xml:space="preserve">6% commission on Forkcast-originated pickup orders</w:t>
      </w:r>
      <w:r>
        <w:t xml:space="preserve"> </w:t>
      </w:r>
      <w:r>
        <w:t xml:space="preserve">— against the 15–30% they already pay marketplaces, we are the cheap, health-intent channel; they pay only when we deliver a customer. Rung 3: optional</w:t>
      </w:r>
      <w:r>
        <w:t xml:space="preserve"> </w:t>
      </w:r>
      <w:r>
        <w:rPr>
          <w:b/>
        </w:rPr>
        <w:t xml:space="preserve">featured placement from $99/mo</w:t>
      </w:r>
      <w:r>
        <w:t xml:space="preserve">, bought after the order channel proves volume — and</w:t>
      </w:r>
      <w:r>
        <w:t xml:space="preserve"> </w:t>
      </w:r>
      <w:r>
        <w:rPr>
          <w:b/>
        </w:rPr>
        <w:t xml:space="preserve">never affecting Fit Scores</w:t>
      </w:r>
      <w:r>
        <w:t xml:space="preserve">. Blended yield ~$1,050/location/yr.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B2B2C covered nutrition (durable).</w:t>
      </w:r>
      <w:r>
        <w:t xml:space="preserve"> </w:t>
      </w:r>
      <w:r>
        <w:t xml:space="preserve">Payer/employer contracts on broadly-covered medical nutrition therapy (CPT 97802–97804); GLP-1 companion programs; Medicaid expansion treated as optionality, not thesis.</w:t>
      </w:r>
    </w:p>
    <w:p>
      <w:pPr>
        <w:pStyle w:val="FirstParagraph"/>
      </w:pPr>
      <w:r>
        <w:t xml:space="preserve">Full assumptions, five-year build, unit economics, and scenarios:</w:t>
      </w:r>
      <w:r>
        <w:t xml:space="preserve"> </w:t>
      </w:r>
      <w:r>
        <w:rPr>
          <w:rStyle w:val="VerbatimChar"/>
        </w:rPr>
        <w:t xml:space="preserve">FINANCIAL_MODEL.md</w:t>
      </w:r>
      <w:r>
        <w:t xml:space="preserve">.</w:t>
      </w:r>
    </w:p>
    <w:p>
      <w:pPr>
        <w:pStyle w:val="Heading2"/>
      </w:pPr>
      <w:bookmarkStart w:id="29" w:name="Xe5b62c9d198b1fe4eddeea7c0e8e9ae59a1336e"/>
      <w:r>
        <w:t xml:space="preserve">7. Go-to-market — density, then proof, then scale</w:t>
      </w:r>
      <w:bookmarkEnd w:id="29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1 (months 0–12): Boston density.</w:t>
      </w:r>
      <w:r>
        <w:t xml:space="preserve"> </w:t>
      </w:r>
      <w:r>
        <w:t xml:space="preserve">Chains seeded from published disclosures (the Sweetgreen/Halal Guys pattern, already demonstrated); independents digitized block-by-block under the documented collection protocol (</w:t>
      </w:r>
      <w:r>
        <w:rPr>
          <w:rStyle w:val="VerbatimChar"/>
        </w:rPr>
        <w:t xml:space="preserve">MENU_COLLECTION.md</w:t>
      </w:r>
      <w:r>
        <w:t xml:space="preserve">: source → digitize → estimate → owner-verify → maintain). Consumer acquisition via TikTok/influencer (the Cal AI playbook) aimed at GLP-1 and goal-oriented audiences — with trust-first, guilt-free positioning the incumbents ceded.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pilot is pre-registered.</w:t>
      </w:r>
      <w:r>
        <w:t xml:space="preserve"> </w:t>
      </w:r>
      <w:r>
        <w:t xml:space="preserve">Six metrics were defined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measurement and are published at</w:t>
      </w:r>
      <w:r>
        <w:t xml:space="preserve"> </w:t>
      </w:r>
      <w:r>
        <w:rPr>
          <w:rStyle w:val="VerbatimChar"/>
        </w:rPr>
        <w:t xml:space="preserve">/impact</w:t>
      </w:r>
      <w:r>
        <w:t xml:space="preserve">: pre-order decision rate, verified-menu coverage, correction turnaround, logged-meal accuracy (order ground truth vs. estimates), independent-restaurant onboarding cost, and diet-quality delta. Definitions don’t move after the fact.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2 (12–30 mo):</w:t>
      </w:r>
      <w:r>
        <w:t xml:space="preserve"> </w:t>
      </w:r>
      <w:r>
        <w:t xml:space="preserve">convert coverage into retail-media; raise seed on retention + featured-restaurant proof (AI took 62% of 2025 digital-health VC).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3 (30 mo+):</w:t>
      </w:r>
      <w:r>
        <w:t xml:space="preserve"> </w:t>
      </w:r>
      <w:r>
        <w:t xml:space="preserve">payer/employer contracts on covered MNT.</w:t>
      </w:r>
    </w:p>
    <w:p>
      <w:pPr>
        <w:pStyle w:val="Heading2"/>
      </w:pPr>
      <w:bookmarkStart w:id="30" w:name="funding-strategy"/>
      <w:r>
        <w:t xml:space="preserve">8. Funding strategy</w:t>
      </w:r>
      <w:bookmarkEnd w:id="30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Pre-seed:</w:t>
      </w:r>
      <w:r>
        <w:t xml:space="preserve"> </w:t>
      </w:r>
      <w:r>
        <w:t xml:space="preserve">~$1.0–1.5M SAFE (~$5–6M post) — mid-range of 2024–26 norms, defensible with a working product and pilot protocol.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Non-dilutive:</w:t>
      </w:r>
      <w:r>
        <w:t xml:space="preserve"> </w:t>
      </w:r>
      <w:r>
        <w:t xml:space="preserve">NIH/NIDDK, USDA-NIFA, and NSF SBIR (Phase I ~$150–300k / $125–175k / ~$275k; Phase II $1–2M).</w:t>
      </w:r>
      <w:r>
        <w:t xml:space="preserve"> </w:t>
      </w:r>
      <w:r>
        <w:rPr>
          <w:i/>
        </w:rPr>
        <w:t xml:space="preserve">SBIR/STTR lapsed Oct 2025, reauthorized Apr 2026 — verify solicitation calendars.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Seed (~$4–6M) at months 12–18</w:t>
      </w:r>
      <w:r>
        <w:t xml:space="preserve"> </w:t>
      </w:r>
      <w:r>
        <w:t xml:space="preserve">on retention + featured-cohort proof;</w:t>
      </w:r>
      <w:r>
        <w:t xml:space="preserve"> </w:t>
      </w:r>
      <w:r>
        <w:rPr>
          <w:b/>
        </w:rPr>
        <w:t xml:space="preserve">Series A (~$15–25M)</w:t>
      </w:r>
      <w:r>
        <w:t xml:space="preserve"> </w:t>
      </w:r>
      <w:r>
        <w:t xml:space="preserve">for GTM and the payer leg.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Why now:</w:t>
      </w:r>
      <w:r>
        <w:t xml:space="preserve"> </w:t>
      </w:r>
      <w:r>
        <w:t xml:space="preserve">the GLP-1/food-as-medicine funding wave (Nourish $70M Series B at $1B+; Foodsmart $200M; Fay, Berry Street $50M each) rewards exactly this evidence-first nutrition positioning.</w:t>
      </w:r>
    </w:p>
    <w:p>
      <w:pPr>
        <w:pStyle w:val="Heading2"/>
      </w:pPr>
      <w:bookmarkStart w:id="31" w:name="milestones-next-18-months"/>
      <w:r>
        <w:t xml:space="preserve">9. Milestones — next 18 months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Working end-to-end product (decision → order → log → measure)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Done, July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Published-nutrition chain seeding demonstrated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Done</w:t>
            </w:r>
            <w:r>
              <w:t xml:space="preserve"> </w:t>
            </w:r>
            <w:r>
              <w:t xml:space="preserve">(Sweetgreen, Halal Guys)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Pilot metrics pre-registered publicly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/impact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Backend (cross-device accounts, live terminal sync)</w:t>
            </w:r>
          </w:p>
        </w:tc>
        <w:tc>
          <w:p>
            <w:pPr>
              <w:pStyle w:val="Compact"/>
              <w:jc w:val="left"/>
            </w:pPr>
            <w:r>
              <w:t xml:space="preserve">Month 1–2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Catalog: 20+ restaurants incl. verified independents</w:t>
            </w:r>
          </w:p>
        </w:tc>
        <w:tc>
          <w:p>
            <w:pPr>
              <w:pStyle w:val="Compact"/>
              <w:jc w:val="left"/>
            </w:pPr>
            <w:r>
              <w:t xml:space="preserve">Month 3</w:t>
            </w:r>
          </w:p>
        </w:tc>
        <w:tc>
          <w:p>
            <w:pPr>
              <w:pStyle w:val="Compact"/>
              <w:jc w:val="left"/>
            </w:pPr>
            <w:r>
              <w:t xml:space="preserve">13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First 3–5 owner-verified partner restaurants (letters + correction logs)</w:t>
            </w:r>
          </w:p>
        </w:tc>
        <w:tc>
          <w:p>
            <w:pPr>
              <w:pStyle w:val="Compact"/>
              <w:jc w:val="left"/>
            </w:pPr>
            <w:r>
              <w:t xml:space="preserve">Month 4–6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D30 retention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&gt;35%</w:t>
            </w:r>
            <w:r>
              <w:t xml:space="preserve"> </w:t>
            </w:r>
            <w:r>
              <w:t xml:space="preserve">(vs. ~30% category)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Featured-restaurant cohort</w:t>
            </w:r>
          </w:p>
        </w:tc>
        <w:tc>
          <w:p>
            <w:pPr>
              <w:pStyle w:val="Compact"/>
              <w:jc w:val="left"/>
            </w:pPr>
            <w:r>
              <w:t xml:space="preserve">150+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subscribers (Boston)</w:t>
            </w:r>
          </w:p>
        </w:tc>
        <w:tc>
          <w:p>
            <w:pPr>
              <w:pStyle w:val="Compact"/>
              <w:jc w:val="left"/>
            </w:pPr>
            <w:r>
              <w:t xml:space="preserve">~3,000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SBIR Phase I submitted/awarded</w:t>
            </w:r>
          </w:p>
        </w:tc>
        <w:tc>
          <w:p>
            <w:pPr>
              <w:pStyle w:val="Compact"/>
              <w:jc w:val="left"/>
            </w:pPr>
            <w:r>
              <w:t xml:space="preserve">Month 9–12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Seed raised</w:t>
            </w:r>
          </w:p>
        </w:tc>
        <w:tc>
          <w:p>
            <w:pPr>
              <w:pStyle w:val="Compact"/>
              <w:jc w:val="left"/>
            </w:pPr>
            <w:r>
              <w:t xml:space="preserve">Month 12–18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bookmarkStart w:id="32" w:name="X386a9f410a5441f6c045d915dee2fe92cd512a2"/>
      <w:r>
        <w:t xml:space="preserve">Five-year plan (projection; reconciles to</w:t>
      </w:r>
      <w:r>
        <w:t xml:space="preserve"> </w:t>
      </w:r>
      <w:r>
        <w:rPr>
          <w:rStyle w:val="VerbatimChar"/>
        </w:rPr>
        <w:t xml:space="preserve">FINANCIAL_MODEL.md</w:t>
      </w:r>
      <w:r>
        <w:t xml:space="preserve">)</w:t>
      </w:r>
      <w:bookmarkEnd w:id="32"/>
    </w:p>
    <w:tbl>
      <w:tblPr>
        <w:tblStyle w:val="Table"/>
        <w:tblW w:type="pct" w:w="5000.0"/>
        <w:tblLook w:firstRow="1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Metros</w:t>
            </w:r>
          </w:p>
        </w:tc>
        <w:tc>
          <w:p>
            <w:pPr>
              <w:pStyle w:val="Compact"/>
              <w:jc w:val="right"/>
            </w:pPr>
            <w:r>
              <w:t xml:space="preserve">Boston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subscribers (yr-end)</w:t>
            </w:r>
          </w:p>
        </w:tc>
        <w:tc>
          <w:p>
            <w:pPr>
              <w:pStyle w:val="Compact"/>
              <w:jc w:val="right"/>
            </w:pPr>
            <w:r>
              <w:t xml:space="preserve">~3k</w:t>
            </w:r>
          </w:p>
        </w:tc>
        <w:tc>
          <w:p>
            <w:pPr>
              <w:pStyle w:val="Compact"/>
              <w:jc w:val="right"/>
            </w:pPr>
            <w:r>
              <w:t xml:space="preserve">~25k</w:t>
            </w:r>
          </w:p>
        </w:tc>
        <w:tc>
          <w:p>
            <w:pPr>
              <w:pStyle w:val="Compact"/>
              <w:jc w:val="right"/>
            </w:pPr>
            <w:r>
              <w:t xml:space="preserve">~90k</w:t>
            </w:r>
          </w:p>
        </w:tc>
        <w:tc>
          <w:p>
            <w:pPr>
              <w:pStyle w:val="Compact"/>
              <w:jc w:val="right"/>
            </w:pPr>
            <w:r>
              <w:t xml:space="preserve">~220k</w:t>
            </w:r>
          </w:p>
        </w:tc>
        <w:tc>
          <w:p>
            <w:pPr>
              <w:pStyle w:val="Compact"/>
              <w:jc w:val="right"/>
            </w:pPr>
            <w:r>
              <w:t xml:space="preserve">~450k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Verified Partner restaurants</w:t>
            </w:r>
          </w:p>
        </w:tc>
        <w:tc>
          <w:p>
            <w:pPr>
              <w:pStyle w:val="Compact"/>
              <w:jc w:val="right"/>
            </w:pPr>
            <w:r>
              <w:t xml:space="preserve">~20</w:t>
            </w:r>
          </w:p>
        </w:tc>
        <w:tc>
          <w:p>
            <w:pPr>
              <w:pStyle w:val="Compact"/>
              <w:jc w:val="right"/>
            </w:pPr>
            <w:r>
              <w:t xml:space="preserve">~400</w:t>
            </w:r>
          </w:p>
        </w:tc>
        <w:tc>
          <w:p>
            <w:pPr>
              <w:pStyle w:val="Compact"/>
              <w:jc w:val="right"/>
            </w:pPr>
            <w:r>
              <w:t xml:space="preserve">~1,500</w:t>
            </w:r>
          </w:p>
        </w:tc>
        <w:tc>
          <w:p>
            <w:pPr>
              <w:pStyle w:val="Compact"/>
              <w:jc w:val="right"/>
            </w:pPr>
            <w:r>
              <w:t xml:space="preserve">~4,000</w:t>
            </w:r>
          </w:p>
        </w:tc>
        <w:tc>
          <w:p>
            <w:pPr>
              <w:pStyle w:val="Compact"/>
              <w:jc w:val="right"/>
            </w:pPr>
            <w:r>
              <w:t xml:space="preserve">~9,000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Team (yr-end)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p>
            <w:pPr>
              <w:pStyle w:val="Compact"/>
              <w:jc w:val="right"/>
            </w:pPr>
            <w:r>
              <w:t xml:space="preserve">$0.15M</w:t>
            </w:r>
          </w:p>
        </w:tc>
        <w:tc>
          <w:p>
            <w:pPr>
              <w:pStyle w:val="Compact"/>
              <w:jc w:val="right"/>
            </w:pPr>
            <w:r>
              <w:t xml:space="preserve">$1.47M</w:t>
            </w:r>
          </w:p>
        </w:tc>
        <w:tc>
          <w:p>
            <w:pPr>
              <w:pStyle w:val="Compact"/>
              <w:jc w:val="right"/>
            </w:pPr>
            <w:r>
              <w:t xml:space="preserve">$5.86M</w:t>
            </w:r>
          </w:p>
        </w:tc>
        <w:tc>
          <w:p>
            <w:pPr>
              <w:pStyle w:val="Compact"/>
              <w:jc w:val="right"/>
            </w:pPr>
            <w:r>
              <w:t xml:space="preserve">$16.44M</w:t>
            </w:r>
          </w:p>
        </w:tc>
        <w:tc>
          <w:p>
            <w:pPr>
              <w:pStyle w:val="Compact"/>
              <w:jc w:val="right"/>
            </w:pPr>
            <w:r>
              <w:t xml:space="preserve">$37.35M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right"/>
            </w:pPr>
            <w:r>
              <w:t xml:space="preserve">Pilot evidence</w:t>
            </w:r>
          </w:p>
        </w:tc>
        <w:tc>
          <w:p>
            <w:pPr>
              <w:pStyle w:val="Compact"/>
              <w:jc w:val="right"/>
            </w:pPr>
            <w:r>
              <w:t xml:space="preserve">Playbook ×3</w:t>
            </w:r>
          </w:p>
        </w:tc>
        <w:tc>
          <w:p>
            <w:pPr>
              <w:pStyle w:val="Compact"/>
              <w:jc w:val="right"/>
            </w:pPr>
            <w:r>
              <w:t xml:space="preserve">B2B2C first contracts</w:t>
            </w:r>
          </w:p>
        </w:tc>
        <w:tc>
          <w:p>
            <w:pPr>
              <w:pStyle w:val="Compact"/>
              <w:jc w:val="right"/>
            </w:pPr>
            <w:r>
              <w:t xml:space="preserve">Approaching breakeven</w:t>
            </w:r>
          </w:p>
        </w:tc>
        <w:tc>
          <w:p>
            <w:pPr>
              <w:pStyle w:val="Compact"/>
              <w:jc w:val="right"/>
            </w:pPr>
            <w:r>
              <w:t xml:space="preserve">Profitable, 25-metro standard</w:t>
            </w:r>
          </w:p>
        </w:tc>
      </w:tr>
    </w:tbl>
    <w:p>
      <w:pPr>
        <w:pStyle w:val="Heading2"/>
      </w:pPr>
      <w:bookmarkStart w:id="33" w:name="risks-mitigations"/>
      <w:r>
        <w:t xml:space="preserve">10. Risks &amp; mitigations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Estimation accuracy is physics-bound</w:t>
            </w:r>
            <w:r>
              <w:t xml:space="preserve"> </w:t>
            </w:r>
            <w:r>
              <w:t xml:space="preserve">(~16–25% photo floor)</w:t>
            </w:r>
          </w:p>
        </w:tc>
        <w:tc>
          <w:p>
            <w:pPr>
              <w:pStyle w:val="Compact"/>
              <w:jc w:val="left"/>
            </w:pPr>
            <w:r>
              <w:t xml:space="preserve">Lead with menu text (models match nutritionists there); RAG-ground in USDA FNDDS (grounding cuts error 63–83%); surface ± ranges; user correction built into every surface; never marketed as clinical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Retention kills this category</w:t>
            </w:r>
          </w:p>
        </w:tc>
        <w:tc>
          <w:p>
            <w:pPr>
              <w:pStyle w:val="Compact"/>
              <w:jc w:val="left"/>
            </w:pPr>
            <w:r>
              <w:t xml:space="preserve">Plan-ahead is a decision habit, not a logging chore; order-confirmed logging removes the diary; calibration gives a compounding reason to stay; annual plans ~halve churn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Two-sided cold start</w:t>
            </w:r>
          </w:p>
        </w:tc>
        <w:tc>
          <w:p>
            <w:pPr>
              <w:pStyle w:val="Compact"/>
              <w:jc w:val="left"/>
            </w:pPr>
            <w:r>
              <w:t xml:space="preserve">Published-disclosure seeding gives day-one chain coverage free; density beats breadth; the terminal gives independents value (orders + flags) before any fee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GLP-1 substitution</w:t>
            </w:r>
          </w:p>
        </w:tc>
        <w:tc>
          <w:p>
            <w:pPr>
              <w:pStyle w:val="Compact"/>
              <w:jc w:val="left"/>
            </w:pPr>
            <w:r>
              <w:t xml:space="preserve">Position as the eating-out companion</w:t>
            </w:r>
            <w:r>
              <w:t xml:space="preserve"> </w:t>
            </w:r>
            <w:r>
              <w:rPr>
                <w:i/>
              </w:rPr>
              <w:t xml:space="preserve">for</w:t>
            </w:r>
            <w:r>
              <w:t xml:space="preserve"> </w:t>
            </w:r>
            <w:r>
              <w:t xml:space="preserve">GLP-1 users — the angle funding the category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Incumbent consolidation</w:t>
            </w:r>
            <w:r>
              <w:t xml:space="preserve"> </w:t>
            </w:r>
            <w:r>
              <w:t xml:space="preserve">(MFP × Cal AI)</w:t>
            </w:r>
          </w:p>
        </w:tc>
        <w:tc>
          <w:p>
            <w:pPr>
              <w:pStyle w:val="Compact"/>
              <w:jc w:val="left"/>
            </w:pPr>
            <w:r>
              <w:t xml:space="preserve">Moat is the verified-data + correction + ground-truth graph, not the model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Trust/integrity failure would be fatal</w:t>
            </w:r>
          </w:p>
        </w:tc>
        <w:tc>
          <w:p>
            <w:pPr>
              <w:pStyle w:val="Compact"/>
              <w:jc w:val="left"/>
            </w:pPr>
            <w:r>
              <w:t xml:space="preserve">Governance is product: sponsored-scoring separation is categorical; corrections versioned and public; simulated states labeled; the</w:t>
            </w:r>
            <w:r>
              <w:t xml:space="preserve"> </w:t>
            </w:r>
            <w:r>
              <w:rPr>
                <w:rStyle w:val="VerbatimChar"/>
              </w:rPr>
              <w:t xml:space="preserve">/impact</w:t>
            </w:r>
            <w:r>
              <w:t xml:space="preserve"> </w:t>
            </w:r>
            <w:r>
              <w:t xml:space="preserve">no-unrecorded-claims commitment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Policy risk on B2B2C</w:t>
            </w:r>
          </w:p>
        </w:tc>
        <w:tc>
          <w:p>
            <w:pPr>
              <w:pStyle w:val="Compact"/>
              <w:jc w:val="left"/>
            </w:pPr>
            <w:r>
              <w:t xml:space="preserve">Anchor on commercial MNT; Medicaid expansion as optionality</w:t>
            </w:r>
          </w:p>
        </w:tc>
      </w:tr>
    </w:tbl>
    <w:p>
      <w:pPr>
        <w:pStyle w:val="Heading2"/>
      </w:pPr>
      <w:bookmarkStart w:id="34" w:name="national-impact"/>
      <w:r>
        <w:t xml:space="preserve">11. National impact</w:t>
      </w:r>
      <w:bookmarkEnd w:id="34"/>
    </w:p>
    <w:p>
      <w:pPr>
        <w:pStyle w:val="FirstParagraph"/>
      </w:pPr>
      <w:r>
        <w:rPr>
          <w:i/>
        </w:rPr>
        <w:t xml:space="preserve">This section states the founders’ case factually; it draws no legal conclusions. All forward figures are projections from the planning model, labeled as such.</w:t>
      </w:r>
    </w:p>
    <w:p>
      <w:pPr>
        <w:pStyle w:val="BodyText"/>
      </w:pPr>
      <w:r>
        <w:rPr>
          <w:b/>
        </w:rPr>
        <w:t xml:space="preserve">11.1 Contributions to the economy.</w:t>
      </w:r>
      <w:r>
        <w:t xml:space="preserve"> </w:t>
      </w:r>
      <w:r>
        <w:t xml:space="preserve">Diet-related disease costs the U.S. ~$334B/yr in direct medical spending (CDC-cited); the away-from-home channel — 58.5% of food spending (USDA ERS) — is where those diets are decided, yet the only federal instrument there (chain calorie labeling) shifts intake by ~24 kcal/order (peer-reviewed). Forkcast’s contribution is infrastructure: turning any menu, chain or independent, into trustworthy per-dish nutrition at the moment of decision. Each point of improvement in restaurant-meal choices compounds across ~$1.5T of annual away-from-home spending.</w:t>
      </w:r>
    </w:p>
    <w:p>
      <w:pPr>
        <w:pStyle w:val="BodyText"/>
      </w:pPr>
      <w:r>
        <w:rPr>
          <w:b/>
        </w:rPr>
        <w:t xml:space="preserve">11.2 Job creation.</w:t>
      </w:r>
      <w:r>
        <w:t xml:space="preserve"> </w:t>
      </w:r>
      <w:r>
        <w:t xml:space="preserve">Direct: the personnel plan below projects</w:t>
      </w:r>
      <w:r>
        <w:t xml:space="preserve"> </w:t>
      </w:r>
      <w:r>
        <w:rPr>
          <w:b/>
        </w:rPr>
        <w:t xml:space="preserve">5 → 62 U.S. employees across five years</w:t>
      </w:r>
      <w:r>
        <w:t xml:space="preserve"> </w:t>
      </w:r>
      <w:r>
        <w:t xml:space="preserve">(engineering, nutrition data operations, market launch teams — Boston first, then the CDC’s highest-prevalence regions). Indirect: every Verified Partner restaurant gains a free digital storefront, order channel, and menu-data capability; the model projects ~9,000 partner restaurants by Y5, overwhelmingly independent small businesses, each keeping 94% of Forkcast-originated order revenue.</w:t>
      </w:r>
    </w:p>
    <w:p>
      <w:pPr>
        <w:pStyle w:val="BodyText"/>
      </w:pPr>
      <w:r>
        <w:rPr>
          <w:b/>
        </w:rPr>
        <w:t xml:space="preserve">11.3 Support for small businesses.</w:t>
      </w:r>
      <w:r>
        <w:t xml:space="preserve"> </w:t>
      </w:r>
      <w:r>
        <w:t xml:space="preserve">Federal labeling rules cover chains with 20+ locations; the independent majority is priced out of nutrition analysis (lab panels run ~$500–1,000/dish). Forkcast gives independents that capability free — menu digitization, per-dish nutrition, verification tools, a corrections ledger — and charges only a 6% fee on orders it originates, versus the 15–30% delivery marketplaces charge. The pilot’s partner agreements and correction logs are designed to evidence this support, restaurant by restaurant.</w:t>
      </w:r>
    </w:p>
    <w:p>
      <w:pPr>
        <w:pStyle w:val="BodyText"/>
      </w:pPr>
      <w:r>
        <w:rPr>
          <w:b/>
        </w:rPr>
        <w:t xml:space="preserve">11.4 Future impact.</w:t>
      </w:r>
      <w:r>
        <w:t xml:space="preserve"> </w:t>
      </w:r>
      <w:r>
        <w:t xml:space="preserve">The expansion sequence deliberately targets the regions federal surveillance identifies as most affected (2024 BRFSS: Midwest 35.9% adult obesity, South 34.5%; 19 states ≥35%). Beyond five years, the same provenance-carrying dataset supports covered-benefit nutrition programs (B2B2C leg), research access to real-world restaurant-eating data, and a correction-governed standard other platforms can adopt. The endeavor is job-creating rather than job-taking, and its methods — collection protocol, provenance tiers, pre-registered metrics — are publishable infrastructure.</w:t>
      </w:r>
    </w:p>
    <w:p>
      <w:pPr>
        <w:pStyle w:val="BodyText"/>
      </w:pPr>
      <w:r>
        <w:rPr>
          <w:b/>
        </w:rPr>
        <w:t xml:space="preserve">Evidence integrity.</w:t>
      </w:r>
      <w:r>
        <w:t xml:space="preserve"> </w:t>
      </w:r>
      <w:r>
        <w:t xml:space="preserve">No fabricated users, restaurants, partners, outcomes, revenue, ratings, or health claims — enforced in the product itself (prototype stamps, simulation labels, demo-payment disclosures, confidence tiers).</w:t>
      </w:r>
    </w:p>
    <w:p>
      <w:pPr>
        <w:pStyle w:val="Heading2"/>
      </w:pPr>
      <w:bookmarkStart w:id="35" w:name="organization-people"/>
      <w:r>
        <w:t xml:space="preserve">12. Organization &amp; people</w:t>
      </w:r>
      <w:bookmarkEnd w:id="35"/>
    </w:p>
    <w:p>
      <w:pPr>
        <w:pStyle w:val="FirstParagraph"/>
      </w:pPr>
      <w:r>
        <w:rPr>
          <w:b/>
        </w:rPr>
        <w:t xml:space="preserve">12.1 Organizational structure.</w:t>
      </w:r>
      <w:r>
        <w:t xml:space="preserve"> </w:t>
      </w:r>
      <w:r>
        <w:t xml:space="preserve">Flat by design through Y2, then three functional pods reporting to the co-founders:</w:t>
      </w:r>
    </w:p>
    <w:p>
      <w:pPr>
        <w:pStyle w:val="SourceCode"/>
      </w:pPr>
      <w:r>
        <w:rPr>
          <w:rStyle w:val="VerbatimChar"/>
        </w:rPr>
        <w:t xml:space="preserve">                    Co-founders</w:t>
      </w:r>
      <w:r>
        <w:br/>
      </w:r>
      <w:r>
        <w:rPr>
          <w:rStyle w:val="VerbatimChar"/>
        </w:rPr>
        <w:t xml:space="preserve">        (Product &amp; Engineering | Strategy &amp; Partnerships)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┌──────────────────┼──────────────────────┐</w:t>
      </w:r>
      <w:r>
        <w:br/>
      </w:r>
      <w:r>
        <w:rPr>
          <w:rStyle w:val="VerbatimChar"/>
        </w:rPr>
        <w:t xml:space="preserve"> Product &amp; Eng      Data &amp; Nutrition       Market &amp; Partnerships</w:t>
      </w:r>
      <w:r>
        <w:br/>
      </w:r>
      <w:r>
        <w:rPr>
          <w:rStyle w:val="VerbatimChar"/>
        </w:rPr>
        <w:t xml:space="preserve"> web · mobile · ML  nutrition ops · RD     city launch · partner success</w:t>
      </w:r>
      <w:r>
        <w:br/>
      </w:r>
      <w:r>
        <w:rPr>
          <w:rStyle w:val="VerbatimChar"/>
        </w:rPr>
        <w:t xml:space="preserve">                    corrections QA          support · co-marketing</w:t>
      </w:r>
    </w:p>
    <w:p>
      <w:pPr>
        <w:pStyle w:val="FirstParagraph"/>
      </w:pPr>
      <w:r>
        <w:t xml:space="preserve">G&amp;A (finance, people ops) stays fractional/outsourced until Y3. Every pod owns a number: Eng owns activation and estimate-correction rate, Data owns provenance coverage, Market owns partner density and CAC.</w:t>
      </w:r>
    </w:p>
    <w:p>
      <w:pPr>
        <w:pStyle w:val="BodyText"/>
      </w:pPr>
      <w:r>
        <w:rPr>
          <w:b/>
        </w:rPr>
        <w:t xml:space="preserve">12.2 Management team.</w:t>
      </w:r>
      <w:r>
        <w:t xml:space="preserve"> </w:t>
      </w:r>
      <w:r>
        <w:t xml:space="preserve">Two co-founders: one leading product and engineering (builder of the product to date), one leading strategy, market validation, and regulatory-economic analysis. Founder credentials are shared with investors directly. Advisory targets: a registered dietitian (clinical credibility + B2B2C), a fast-casual operator, and a digital-health payer-contracting advisor.</w:t>
      </w:r>
    </w:p>
    <w:p>
      <w:pPr>
        <w:pStyle w:val="BodyText"/>
      </w:pPr>
      <w:r>
        <w:rPr>
          <w:b/>
        </w:rPr>
        <w:t xml:space="preserve">12.3 Personnel plan by year</w:t>
      </w:r>
      <w:r>
        <w:t xml:space="preserve"> </w:t>
      </w:r>
      <w:r>
        <w:rPr>
          <w:i/>
        </w:rPr>
        <w:t xml:space="preserve">(projection; headcount at year end)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Founders / management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Engineering (web, mobile, ML, data)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Nutrition data ops + RD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Market launch &amp; partner success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Support &amp; community</w:t>
            </w:r>
          </w:p>
        </w:tc>
        <w:tc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G&amp;A (finance, people)</w:t>
            </w:r>
          </w:p>
        </w:tc>
        <w:tc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12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40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62</w:t>
            </w:r>
          </w:p>
        </w:tc>
      </w:tr>
    </w:tbl>
    <w:p>
      <w:pPr>
        <w:pStyle w:val="BodyText"/>
      </w:pPr>
      <w:r>
        <w:rPr>
          <w:b/>
        </w:rPr>
        <w:t xml:space="preserve">12.4 Salary table</w:t>
      </w:r>
      <w:r>
        <w:t xml:space="preserve"> </w:t>
      </w:r>
      <w:r>
        <w:rPr>
          <w:i/>
        </w:rPr>
        <w:t xml:space="preserve">(Boston-market base, projection)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Base salary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Co-founder (Y1–Y2, below market)</w:t>
            </w:r>
          </w:p>
        </w:tc>
        <w:tc>
          <w:p>
            <w:pPr>
              <w:pStyle w:val="Compact"/>
              <w:jc w:val="right"/>
            </w:pPr>
            <w:r>
              <w:t xml:space="preserve">$90,000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Senior ML engineer</w:t>
            </w:r>
          </w:p>
        </w:tc>
        <w:tc>
          <w:p>
            <w:pPr>
              <w:pStyle w:val="Compact"/>
              <w:jc w:val="right"/>
            </w:pPr>
            <w:r>
              <w:t xml:space="preserve">$165,000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Full-stack / mobile engineer</w:t>
            </w:r>
          </w:p>
        </w:tc>
        <w:tc>
          <w:p>
            <w:pPr>
              <w:pStyle w:val="Compact"/>
              <w:jc w:val="right"/>
            </w:pPr>
            <w:r>
              <w:t xml:space="preserve">$150,000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 designer</w:t>
            </w:r>
          </w:p>
        </w:tc>
        <w:tc>
          <w:p>
            <w:pPr>
              <w:pStyle w:val="Compact"/>
              <w:jc w:val="right"/>
            </w:pPr>
            <w:r>
              <w:t xml:space="preserve">$120,000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Registered dietitian (part-time → full)</w:t>
            </w:r>
          </w:p>
        </w:tc>
        <w:tc>
          <w:p>
            <w:pPr>
              <w:pStyle w:val="Compact"/>
              <w:jc w:val="right"/>
            </w:pPr>
            <w:r>
              <w:t xml:space="preserve">$60,000–95,000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Nutrition data operations</w:t>
            </w:r>
          </w:p>
        </w:tc>
        <w:tc>
          <w:p>
            <w:pPr>
              <w:pStyle w:val="Compact"/>
              <w:jc w:val="right"/>
            </w:pPr>
            <w:r>
              <w:t xml:space="preserve">$70,000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City GTM lead</w:t>
            </w:r>
          </w:p>
        </w:tc>
        <w:tc>
          <w:p>
            <w:pPr>
              <w:pStyle w:val="Compact"/>
              <w:jc w:val="right"/>
            </w:pPr>
            <w:r>
              <w:t xml:space="preserve">$110,000 + incentive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Partner success rep</w:t>
            </w:r>
          </w:p>
        </w:tc>
        <w:tc>
          <w:p>
            <w:pPr>
              <w:pStyle w:val="Compact"/>
              <w:jc w:val="right"/>
            </w:pPr>
            <w:r>
              <w:t xml:space="preserve">$85,000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Support specialist</w:t>
            </w:r>
          </w:p>
        </w:tc>
        <w:tc>
          <w:p>
            <w:pPr>
              <w:pStyle w:val="Compact"/>
              <w:jc w:val="right"/>
            </w:pPr>
            <w:r>
              <w:t xml:space="preserve">$55,000</w:t>
            </w:r>
          </w:p>
        </w:tc>
      </w:tr>
    </w:tbl>
    <w:p>
      <w:pPr>
        <w:pStyle w:val="BodyText"/>
      </w:pPr>
      <w:r>
        <w:t xml:space="preserve">Fully-loaded cost ≈ base × 1.25 (payroll taxes, benefits, tools).</w:t>
      </w:r>
    </w:p>
    <w:p>
      <w:pPr>
        <w:pStyle w:val="BodyText"/>
      </w:pPr>
      <w:r>
        <w:rPr>
          <w:b/>
        </w:rPr>
        <w:t xml:space="preserve">12.5 Personnel spend by year</w:t>
      </w:r>
      <w:r>
        <w:t xml:space="preserve"> </w:t>
      </w:r>
      <w:r>
        <w:rPr>
          <w:i/>
        </w:rPr>
        <w:t xml:space="preserve">(projection; reconciles to the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Team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line in the P&amp;L,</w:t>
      </w:r>
      <w:r>
        <w:rPr>
          <w:i/>
        </w:rPr>
        <w:t xml:space="preserve"> </w:t>
      </w:r>
      <w:r>
        <w:rPr>
          <w:rStyle w:val="VerbatimChar"/>
          <w:i/>
        </w:rPr>
        <w:t xml:space="preserve">FINANCIAL_MODEL.md</w:t>
      </w:r>
      <w:r>
        <w:rPr>
          <w:i/>
        </w:rPr>
        <w:t xml:space="preserve"> </w:t>
      </w:r>
      <w:r>
        <w:rPr>
          <w:i/>
        </w:rPr>
        <w:t xml:space="preserve">§5)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Y5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Headcount (avg)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Salaries + load</w:t>
            </w:r>
          </w:p>
        </w:tc>
        <w:tc>
          <w:p>
            <w:pPr>
              <w:pStyle w:val="Compact"/>
              <w:jc w:val="right"/>
            </w:pPr>
            <w:r>
              <w:t xml:space="preserve">$0.7M</w:t>
            </w:r>
          </w:p>
        </w:tc>
        <w:tc>
          <w:p>
            <w:pPr>
              <w:pStyle w:val="Compact"/>
              <w:jc w:val="right"/>
            </w:pPr>
            <w:r>
              <w:t xml:space="preserve">$1.9M</w:t>
            </w:r>
          </w:p>
        </w:tc>
        <w:tc>
          <w:p>
            <w:pPr>
              <w:pStyle w:val="Compact"/>
              <w:jc w:val="right"/>
            </w:pPr>
            <w:r>
              <w:t xml:space="preserve">$3.7M</w:t>
            </w:r>
          </w:p>
        </w:tc>
        <w:tc>
          <w:p>
            <w:pPr>
              <w:pStyle w:val="Compact"/>
              <w:jc w:val="right"/>
            </w:pPr>
            <w:r>
              <w:t xml:space="preserve">$6.2M</w:t>
            </w:r>
          </w:p>
        </w:tc>
        <w:tc>
          <w:p>
            <w:pPr>
              <w:pStyle w:val="Compact"/>
              <w:jc w:val="right"/>
            </w:pPr>
            <w:r>
              <w:t xml:space="preserve">$9.8M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Contractors (mobile launch, design)</w:t>
            </w:r>
          </w:p>
        </w:tc>
        <w:tc>
          <w:p>
            <w:pPr>
              <w:pStyle w:val="Compact"/>
              <w:jc w:val="right"/>
            </w:pPr>
            <w:r>
              <w:t xml:space="preserve">$0.2M</w:t>
            </w:r>
          </w:p>
        </w:tc>
        <w:tc>
          <w:p>
            <w:pPr>
              <w:pStyle w:val="Compact"/>
              <w:jc w:val="right"/>
            </w:pPr>
            <w:r>
              <w:t xml:space="preserve">$0.3M</w:t>
            </w:r>
          </w:p>
        </w:tc>
        <w:tc>
          <w:p>
            <w:pPr>
              <w:pStyle w:val="Compact"/>
              <w:jc w:val="right"/>
            </w:pPr>
            <w:r>
              <w:t xml:space="preserve">$0.5M</w:t>
            </w:r>
          </w:p>
        </w:tc>
        <w:tc>
          <w:p>
            <w:pPr>
              <w:pStyle w:val="Compact"/>
              <w:jc w:val="right"/>
            </w:pPr>
            <w:r>
              <w:t xml:space="preserve">$0.8M</w:t>
            </w:r>
          </w:p>
        </w:tc>
        <w:tc>
          <w:p>
            <w:pPr>
              <w:pStyle w:val="Compact"/>
              <w:jc w:val="right"/>
            </w:pPr>
            <w:r>
              <w:t xml:space="preserve">$1.2M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 team cost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$0.9M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$2.2M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$4.2M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$7.0M</w:t>
            </w:r>
          </w:p>
        </w:tc>
        <w:tc>
          <w:p>
            <w:pPr>
              <w:pStyle w:val="Compact"/>
              <w:jc w:val="right"/>
            </w:pPr>
            <w:r>
              <w:rPr>
                <w:b/>
              </w:rPr>
              <w:t xml:space="preserve">$11.0M</w:t>
            </w:r>
          </w:p>
        </w:tc>
      </w:tr>
    </w:tbl>
    <w:p>
      <w:pPr>
        <w:pStyle w:val="BodyText"/>
      </w:pPr>
      <w:r>
        <w:t xml:space="preserve">Hiring is sequenced behind revenue proof: the Y2 step-up follows pilot conversion data; Y3+ market-launch hiring follows the seed round and the second-metro playbook. Non-dilutive SBIR offsets part of Y1–Y2 engineering.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Companions:</w:t>
      </w:r>
      <w:r>
        <w:rPr>
          <w:i/>
        </w:rPr>
        <w:t xml:space="preserve"> </w:t>
      </w:r>
      <w:r>
        <w:rPr>
          <w:rStyle w:val="VerbatimChar"/>
          <w:i/>
        </w:rPr>
        <w:t xml:space="preserve">FINANCIAL_MODEL.md</w:t>
      </w:r>
      <w:r>
        <w:rPr>
          <w:i/>
        </w:rPr>
        <w:t xml:space="preserve"> </w:t>
      </w:r>
      <w:r>
        <w:rPr>
          <w:i/>
        </w:rPr>
        <w:t xml:space="preserve">·</w:t>
      </w:r>
      <w:r>
        <w:rPr>
          <w:i/>
        </w:rPr>
        <w:t xml:space="preserve"> </w:t>
      </w:r>
      <w:r>
        <w:rPr>
          <w:rStyle w:val="VerbatimChar"/>
          <w:i/>
        </w:rPr>
        <w:t xml:space="preserve">RESEARCH.md</w:t>
      </w:r>
      <w:r>
        <w:rPr>
          <w:i/>
        </w:rPr>
        <w:t xml:space="preserve"> </w:t>
      </w:r>
      <w:r>
        <w:rPr>
          <w:i/>
        </w:rPr>
        <w:t xml:space="preserve">(cited evidence base) ·</w:t>
      </w:r>
      <w:r>
        <w:rPr>
          <w:i/>
        </w:rPr>
        <w:t xml:space="preserve"> </w:t>
      </w:r>
      <w:r>
        <w:rPr>
          <w:rStyle w:val="VerbatimChar"/>
          <w:i/>
        </w:rPr>
        <w:t xml:space="preserve">COMPETITIVE_SCAN_2026-07.md</w:t>
      </w:r>
      <w:r>
        <w:rPr>
          <w:i/>
        </w:rPr>
        <w:t xml:space="preserve"> </w:t>
      </w:r>
      <w:r>
        <w:rPr>
          <w:i/>
        </w:rPr>
        <w:t xml:space="preserve">(live captures) ·</w:t>
      </w:r>
      <w:r>
        <w:rPr>
          <w:i/>
        </w:rPr>
        <w:t xml:space="preserve"> </w:t>
      </w:r>
      <w:r>
        <w:rPr>
          <w:rStyle w:val="VerbatimChar"/>
          <w:i/>
        </w:rPr>
        <w:t xml:space="preserve">MENU_COLLECTION.md</w:t>
      </w:r>
      <w:r>
        <w:rPr>
          <w:i/>
        </w:rPr>
        <w:t xml:space="preserve"> </w:t>
      </w:r>
      <w:r>
        <w:rPr>
          <w:i/>
        </w:rPr>
        <w:t xml:space="preserve">(data protocol) ·</w:t>
      </w:r>
      <w:r>
        <w:rPr>
          <w:i/>
        </w:rPr>
        <w:t xml:space="preserve"> </w:t>
      </w:r>
      <w:r>
        <w:rPr>
          <w:rStyle w:val="VerbatimChar"/>
          <w:i/>
        </w:rPr>
        <w:t xml:space="preserve">SYSTEM_ARCHITECTURE.md</w:t>
      </w:r>
      <w:r>
        <w:rPr>
          <w:i/>
        </w:rPr>
        <w:t xml:space="preserve"> </w:t>
      </w:r>
      <w:r>
        <w:rPr>
          <w:i/>
        </w:rPr>
        <w:t xml:space="preserve">·</w:t>
      </w:r>
      <w:r>
        <w:rPr>
          <w:i/>
        </w:rPr>
        <w:t xml:space="preserve"> </w:t>
      </w:r>
      <w:r>
        <w:rPr>
          <w:rStyle w:val="VerbatimChar"/>
          <w:i/>
        </w:rPr>
        <w:t xml:space="preserve">DESIGN_INTEGRATION_NIW.md</w:t>
      </w:r>
      <w:r>
        <w:rPr>
          <w:i/>
        </w:rPr>
        <w:t xml:space="preserve">. Working product: this repository (</w:t>
      </w:r>
      <w:r>
        <w:rPr>
          <w:rStyle w:val="VerbatimChar"/>
          <w:i/>
        </w:rPr>
        <w:t xml:space="preserve">npm run dev</w:t>
      </w:r>
      <w:r>
        <w:rPr>
          <w:i/>
        </w:rPr>
        <w:t xml:space="preserve">) and the published demo site.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2026-07-20T03:04:05Z</dcterms:created>
  <dcterms:modified xsi:type="dcterms:W3CDTF">2026-07-20T03:04:05Z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